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="00DB75FC">
        <w:rPr>
          <w:rFonts w:ascii="Arial" w:hAnsi="Arial" w:cs="Arial"/>
          <w:b/>
          <w:bCs/>
          <w:i/>
          <w:iCs/>
          <w:sz w:val="22"/>
          <w:szCs w:val="22"/>
        </w:rPr>
        <w:t>Remplacement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temporaire de fonctionnaires ou d’agents contractuels)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</w:t>
      </w:r>
      <w:r w:rsidR="00DB75FC" w:rsidRPr="00DB75FC">
        <w:rPr>
          <w:rFonts w:ascii="Arial" w:hAnsi="Arial" w:cs="Arial"/>
          <w:b/>
          <w:sz w:val="20"/>
          <w:szCs w:val="20"/>
        </w:rPr>
        <w:t xml:space="preserve">21 décembre 2020 au </w:t>
      </w:r>
      <w:r w:rsidR="003C570A">
        <w:rPr>
          <w:rFonts w:ascii="Arial" w:hAnsi="Arial" w:cs="Arial"/>
          <w:b/>
          <w:sz w:val="20"/>
          <w:szCs w:val="20"/>
        </w:rPr>
        <w:t>27 décembre 2020</w:t>
      </w:r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 à une période d’essai d’une semaine.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E73B0F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M. CREPEAU Rémi reçoit une rémunération sur la base de l'indice brut 350, indice majoré 327,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 CREPEAU Rémi doit être clairement exprimée par lettre recommandée avec accusé de réception.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DB75FC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</w:t>
      </w:r>
      <w:r w:rsidR="00DB75FC">
        <w:rPr>
          <w:rFonts w:ascii="Arial" w:hAnsi="Arial" w:cs="Arial"/>
          <w:sz w:val="20"/>
          <w:szCs w:val="20"/>
        </w:rPr>
        <w:t xml:space="preserve">décembre </w:t>
      </w:r>
      <w:r>
        <w:rPr>
          <w:rFonts w:ascii="Arial" w:hAnsi="Arial" w:cs="Arial"/>
          <w:sz w:val="20"/>
          <w:szCs w:val="20"/>
        </w:rPr>
        <w:t>2020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E73B0F"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DB75FC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DB75FC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E73B0F"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  <w:t>Rémi CRÉPEAU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3C570A"/>
    <w:rsid w:val="007B3F49"/>
    <w:rsid w:val="00BA22CD"/>
    <w:rsid w:val="00BF244B"/>
    <w:rsid w:val="00DB75FC"/>
    <w:rsid w:val="00E73B0F"/>
    <w:rsid w:val="00E836CF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804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2020-12-21T07:59:00Z</cp:lastPrinted>
  <dcterms:created xsi:type="dcterms:W3CDTF">2020-12-21T08:00:00Z</dcterms:created>
  <dcterms:modified xsi:type="dcterms:W3CDTF">2020-12-21T15:03:00Z</dcterms:modified>
</cp:coreProperties>
</file>