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Entretien des espaces verts et travaux divers du 0</w:t>
      </w:r>
      <w:r w:rsidR="00CA2B7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septembre 2020 au 15 septembre 2020,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3E6CAF" w:rsidRDefault="003E6CAF" w:rsidP="003E6CA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3E6CAF" w:rsidRDefault="003E6CAF" w:rsidP="003E6C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</w:t>
      </w:r>
      <w:r w:rsidR="00861C03">
        <w:rPr>
          <w:rFonts w:ascii="Arial" w:hAnsi="Arial" w:cs="Arial"/>
          <w:sz w:val="20"/>
          <w:szCs w:val="20"/>
        </w:rPr>
        <w:t>,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861C03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</w:t>
      </w:r>
      <w:r w:rsidR="00861C03">
        <w:rPr>
          <w:rFonts w:ascii="Arial" w:hAnsi="Arial" w:cs="Arial"/>
          <w:sz w:val="20"/>
          <w:szCs w:val="20"/>
        </w:rPr>
        <w:t>septembre</w:t>
      </w:r>
      <w:r>
        <w:rPr>
          <w:rFonts w:ascii="Arial" w:hAnsi="Arial" w:cs="Arial"/>
          <w:sz w:val="20"/>
          <w:szCs w:val="20"/>
        </w:rPr>
        <w:t xml:space="preserve"> 2020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3E6CAF" w:rsidRDefault="003E6CAF" w:rsidP="003E6CAF">
      <w:r>
        <w:rPr>
          <w:rFonts w:ascii="Arial" w:hAnsi="Arial" w:cs="Arial"/>
          <w:sz w:val="20"/>
          <w:szCs w:val="20"/>
        </w:rPr>
        <w:t>- Comptable de la collectivité.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3E6CAF" w:rsidRDefault="003E6CAF" w:rsidP="003E6CA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6CAF" w:rsidRDefault="00861C03" w:rsidP="003E6CAF">
      <w:r>
        <w:t>Gérard LIOT</w:t>
      </w:r>
    </w:p>
    <w:p w:rsidR="003E6CAF" w:rsidRDefault="003E6CAF" w:rsidP="003E6CAF"/>
    <w:p w:rsidR="007F3535" w:rsidRDefault="007F3535"/>
    <w:sectPr w:rsidR="007F3535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CAF"/>
    <w:rsid w:val="003E6CAF"/>
    <w:rsid w:val="007F3535"/>
    <w:rsid w:val="00861C03"/>
    <w:rsid w:val="00CA2B70"/>
    <w:rsid w:val="00DB062F"/>
    <w:rsid w:val="00FE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810</Words>
  <Characters>4459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2020-08-27T15:09:00Z</dcterms:created>
  <dcterms:modified xsi:type="dcterms:W3CDTF">2020-09-04T08:00:00Z</dcterms:modified>
</cp:coreProperties>
</file>