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134A11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134A11">
        <w:rPr>
          <w:rFonts w:ascii="Arial" w:hAnsi="Arial" w:cs="Arial"/>
          <w:b/>
          <w:sz w:val="20"/>
          <w:szCs w:val="20"/>
        </w:rPr>
        <w:t xml:space="preserve">31 mai au 30 juin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134A11">
        <w:rPr>
          <w:rFonts w:ascii="Arial" w:hAnsi="Arial" w:cs="Arial"/>
          <w:sz w:val="20"/>
          <w:szCs w:val="20"/>
        </w:rPr>
        <w:t>31 mai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34A11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E47FE"/>
    <w:rsid w:val="0081214B"/>
    <w:rsid w:val="00931B17"/>
    <w:rsid w:val="00963823"/>
    <w:rsid w:val="009D25A1"/>
    <w:rsid w:val="00B22C03"/>
    <w:rsid w:val="00BA22CD"/>
    <w:rsid w:val="00BF244B"/>
    <w:rsid w:val="00BF48E8"/>
    <w:rsid w:val="00D645C6"/>
    <w:rsid w:val="00DB75FC"/>
    <w:rsid w:val="00E73B0F"/>
    <w:rsid w:val="00E836CF"/>
    <w:rsid w:val="00FC55C7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2021-05-31T10:20:00Z</cp:lastPrinted>
  <dcterms:created xsi:type="dcterms:W3CDTF">2021-05-31T10:21:00Z</dcterms:created>
  <dcterms:modified xsi:type="dcterms:W3CDTF">2021-05-31T10:21:00Z</dcterms:modified>
</cp:coreProperties>
</file>