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remplacement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temporaire de fonctionnaires ou d’agents contractuels)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",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 Entretien des espaces verts et travaux divers du 2</w:t>
      </w:r>
      <w:r w:rsidR="00C3132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octobre 2020 au </w:t>
      </w:r>
      <w:r w:rsidR="00C31328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>novembre 2020,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soumis(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à une période d’essai d’une semaine.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8A4E4B" w:rsidRDefault="008A4E4B" w:rsidP="008A4E4B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appliqué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350, indice majoré 327,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proofErr w:type="gramStart"/>
      <w:r>
        <w:rPr>
          <w:rFonts w:ascii="Arial" w:hAnsi="Arial" w:cs="Arial"/>
          <w:sz w:val="20"/>
          <w:szCs w:val="20"/>
        </w:rPr>
        <w:t>soumis</w:t>
      </w:r>
      <w:proofErr w:type="gramEnd"/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à l'IRCANTEC.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(1) Selon le cas, rayer la mention inutile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ARTICLE 5 : RENOUVELLEMENT DU CONTRAT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notifie</w:t>
      </w:r>
      <w:proofErr w:type="gramEnd"/>
      <w:r>
        <w:rPr>
          <w:rFonts w:ascii="Arial" w:hAnsi="Arial" w:cs="Arial"/>
          <w:sz w:val="20"/>
          <w:szCs w:val="20"/>
        </w:rPr>
        <w:t xml:space="preserve"> son intention de renouveler l'engagement au plus tard :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6 mois et inférieure à 2 ans,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supérieure</w:t>
      </w:r>
      <w:proofErr w:type="gramEnd"/>
      <w:r>
        <w:rPr>
          <w:rFonts w:ascii="Arial" w:hAnsi="Arial" w:cs="Arial"/>
          <w:sz w:val="20"/>
          <w:szCs w:val="20"/>
        </w:rPr>
        <w:t xml:space="preserve"> ou égale à 2 ans.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dispositions</w:t>
      </w:r>
      <w:proofErr w:type="gramEnd"/>
      <w:r>
        <w:rPr>
          <w:rFonts w:ascii="Arial" w:hAnsi="Arial" w:cs="Arial"/>
          <w:sz w:val="20"/>
          <w:szCs w:val="20"/>
        </w:rPr>
        <w:t xml:space="preserve"> de la réglementation en vigueur au moment de la rupture du contrat.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suite</w:t>
      </w:r>
      <w:proofErr w:type="gramEnd"/>
      <w:r>
        <w:rPr>
          <w:rFonts w:ascii="Arial" w:hAnsi="Arial" w:cs="Arial"/>
          <w:sz w:val="20"/>
          <w:szCs w:val="20"/>
        </w:rPr>
        <w:t xml:space="preserve"> d’un congé sans traitement d’une durée égale ou supérieure à un mois, soit au cours ou à l’expiration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d’une</w:t>
      </w:r>
      <w:proofErr w:type="gramEnd"/>
      <w:r>
        <w:rPr>
          <w:rFonts w:ascii="Arial" w:hAnsi="Arial" w:cs="Arial"/>
          <w:sz w:val="20"/>
          <w:szCs w:val="20"/>
        </w:rPr>
        <w:t xml:space="preserve"> période d’essai.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8A4E4B" w:rsidRDefault="008A4E4B" w:rsidP="008A4E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dans</w:t>
      </w:r>
      <w:proofErr w:type="gramEnd"/>
      <w:r>
        <w:rPr>
          <w:rFonts w:ascii="Arial" w:hAnsi="Arial" w:cs="Arial"/>
          <w:sz w:val="20"/>
          <w:szCs w:val="20"/>
        </w:rPr>
        <w:t xml:space="preserve"> le respect du délai de recours de deux mois.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à. Aussac-Vadalle, le 23 octobre 2020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8A4E4B" w:rsidRDefault="008A4E4B" w:rsidP="008A4E4B">
      <w:r>
        <w:rPr>
          <w:rFonts w:ascii="Arial" w:hAnsi="Arial" w:cs="Arial"/>
          <w:sz w:val="20"/>
          <w:szCs w:val="20"/>
        </w:rPr>
        <w:t>- Comptable de la collectivité.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signatures</w:t>
      </w:r>
      <w:proofErr w:type="gramEnd"/>
      <w:r>
        <w:rPr>
          <w:rFonts w:ascii="Arial" w:hAnsi="Arial" w:cs="Arial"/>
          <w:sz w:val="20"/>
          <w:szCs w:val="20"/>
        </w:rPr>
        <w:t xml:space="preserve"> :</w:t>
      </w:r>
    </w:p>
    <w:p w:rsidR="008A4E4B" w:rsidRDefault="008A4E4B" w:rsidP="008A4E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A4E4B" w:rsidRDefault="008A4E4B" w:rsidP="008A4E4B">
      <w:r>
        <w:t>Gérard LIOT</w:t>
      </w:r>
    </w:p>
    <w:p w:rsidR="008A4E4B" w:rsidRDefault="008A4E4B" w:rsidP="008A4E4B"/>
    <w:p w:rsidR="008A4E4B" w:rsidRDefault="008A4E4B" w:rsidP="008A4E4B"/>
    <w:p w:rsidR="00B33265" w:rsidRDefault="00B33265"/>
    <w:sectPr w:rsidR="00B33265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8A4E4B"/>
    <w:rsid w:val="006050D9"/>
    <w:rsid w:val="008A4E4B"/>
    <w:rsid w:val="00B33265"/>
    <w:rsid w:val="00C3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4455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2020-10-23T09:20:00Z</dcterms:created>
  <dcterms:modified xsi:type="dcterms:W3CDTF">2020-10-26T10:01:00Z</dcterms:modified>
</cp:coreProperties>
</file>