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62" w:rsidRDefault="009B4062" w:rsidP="009B4062">
      <w:pPr>
        <w:spacing w:line="0" w:lineRule="atLeast"/>
        <w:ind w:right="-3"/>
        <w:jc w:val="center"/>
      </w:pPr>
      <w:bookmarkStart w:id="0" w:name="page1"/>
      <w:bookmarkEnd w:id="0"/>
      <w:r>
        <w:rPr>
          <w:rFonts w:ascii="Century Gothic" w:eastAsia="Century Gothic" w:hAnsi="Century Gothic" w:cs="Century Gothic"/>
          <w:b/>
        </w:rPr>
        <w:t>ARRETE DE MISE EN DISPONIBILITE D'OFFICE APRES MALADIE AVEC MAINTIEN A TITRE</w:t>
      </w:r>
    </w:p>
    <w:p w:rsidR="009B4062" w:rsidRDefault="009B4062" w:rsidP="009B4062">
      <w:pPr>
        <w:spacing w:line="3" w:lineRule="exact"/>
        <w:rPr>
          <w:rFonts w:ascii="Times New Roman" w:eastAsia="Times New Roman" w:hAnsi="Times New Roman" w:cs="Times New Roman"/>
          <w:b/>
          <w:sz w:val="24"/>
        </w:rPr>
      </w:pPr>
    </w:p>
    <w:p w:rsidR="009B4062" w:rsidRDefault="009B4062" w:rsidP="009B4062">
      <w:pPr>
        <w:spacing w:line="0" w:lineRule="atLeast"/>
        <w:ind w:left="1420" w:right="20"/>
        <w:jc w:val="center"/>
      </w:pPr>
      <w:r>
        <w:rPr>
          <w:rFonts w:ascii="Century Gothic" w:eastAsia="Century Gothic" w:hAnsi="Century Gothic" w:cs="Century Gothic"/>
          <w:b/>
        </w:rPr>
        <w:t>DEROGATOIRE DU DEMI-TRAITEMENT DANS L’ATTENTE DE L’AVIS DU COMITE MEDICAL ou/et DE LA COMMISSION DE REFORME OU DE LA DECISION D’ADMISSION A LA RETRAITE POUR INVALIDITE DE M, LALUT Pascal, Adjoint Technique Territorial Principal de 2</w:t>
      </w:r>
      <w:r w:rsidRPr="009B4062">
        <w:rPr>
          <w:rFonts w:ascii="Century Gothic" w:eastAsia="Century Gothic" w:hAnsi="Century Gothic" w:cs="Century Gothic"/>
          <w:b/>
          <w:vertAlign w:val="superscript"/>
        </w:rPr>
        <w:t>ème</w:t>
      </w:r>
      <w:r>
        <w:rPr>
          <w:rFonts w:ascii="Century Gothic" w:eastAsia="Century Gothic" w:hAnsi="Century Gothic" w:cs="Century Gothic"/>
          <w:b/>
        </w:rPr>
        <w:t xml:space="preserve"> classe</w:t>
      </w:r>
    </w:p>
    <w:p w:rsidR="009B4062" w:rsidRDefault="009B4062" w:rsidP="009B4062">
      <w:pPr>
        <w:spacing w:line="243" w:lineRule="exact"/>
        <w:rPr>
          <w:rFonts w:ascii="Times New Roman" w:eastAsia="Times New Roman" w:hAnsi="Times New Roman" w:cs="Times New Roman"/>
          <w:b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sz w:val="16"/>
        </w:rPr>
        <w:t>Le Maire d’Aussac-Vadalle,</w:t>
      </w:r>
    </w:p>
    <w:p w:rsidR="009B4062" w:rsidRDefault="009B4062" w:rsidP="009B4062">
      <w:pPr>
        <w:spacing w:line="58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sz w:val="16"/>
        </w:rPr>
        <w:t>Vu le code général des collectivités territoriales,</w:t>
      </w:r>
    </w:p>
    <w:p w:rsidR="009B4062" w:rsidRDefault="009B4062" w:rsidP="009B4062">
      <w:pPr>
        <w:spacing w:line="63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sz w:val="16"/>
        </w:rPr>
        <w:t>Vu la loi n°83-634 du 13 juillet 1983 portant droits et obligations des fonctionnaires,</w:t>
      </w:r>
    </w:p>
    <w:p w:rsidR="009B4062" w:rsidRDefault="009B4062" w:rsidP="009B4062">
      <w:pPr>
        <w:spacing w:line="65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300" w:lineRule="auto"/>
        <w:ind w:left="4" w:right="880"/>
        <w:jc w:val="both"/>
      </w:pPr>
      <w:r>
        <w:rPr>
          <w:rFonts w:ascii="Century Gothic" w:eastAsia="Century Gothic" w:hAnsi="Century Gothic" w:cs="Century Gothic"/>
          <w:sz w:val="16"/>
        </w:rPr>
        <w:t>Vu la loi n°84-53 du 26 janvier 1984 portant dispositions statutaires relatives à la Fonction Publique Territoriale, Vu la loi n°2003-775 du 21 août 2003 portant réforme des retraites,</w:t>
      </w:r>
    </w:p>
    <w:p w:rsidR="009B4062" w:rsidRDefault="009B4062" w:rsidP="009B4062">
      <w:pPr>
        <w:spacing w:line="18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230" w:lineRule="auto"/>
        <w:ind w:left="4" w:right="20"/>
        <w:jc w:val="both"/>
      </w:pPr>
      <w:r>
        <w:rPr>
          <w:rFonts w:ascii="Century Gothic" w:eastAsia="Century Gothic" w:hAnsi="Century Gothic" w:cs="Century Gothic"/>
          <w:sz w:val="16"/>
        </w:rPr>
        <w:t>Vu le décret n°86-68 du 13 janvier 1986 relatif aux positions de détachement, hors cadres, de disponibilité, de congé parental des fonctionnaires territoriaux et à l'intégration,</w:t>
      </w:r>
    </w:p>
    <w:p w:rsidR="009B4062" w:rsidRDefault="009B4062" w:rsidP="009B4062">
      <w:pPr>
        <w:spacing w:line="7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232" w:lineRule="auto"/>
        <w:ind w:left="4" w:right="20"/>
        <w:jc w:val="both"/>
      </w:pPr>
      <w:r>
        <w:rPr>
          <w:rFonts w:ascii="Century Gothic" w:eastAsia="Century Gothic" w:hAnsi="Century Gothic" w:cs="Century Gothic"/>
          <w:sz w:val="16"/>
        </w:rPr>
        <w:t>Vu le décret n°87-602 du 30 juillet 1987 modifié relatif à l’organisation des comités médicaux aux conditions d’aptitude physique et au régime des congés de maladie des fonctionnaires territoriaux,</w:t>
      </w:r>
    </w:p>
    <w:p w:rsidR="009B4062" w:rsidRDefault="009B4062" w:rsidP="009B4062">
      <w:pPr>
        <w:spacing w:line="65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232" w:lineRule="auto"/>
        <w:ind w:left="4" w:right="20"/>
        <w:jc w:val="both"/>
      </w:pPr>
      <w:r>
        <w:rPr>
          <w:rFonts w:ascii="Century Gothic" w:eastAsia="Century Gothic" w:hAnsi="Century Gothic" w:cs="Century Gothic"/>
          <w:sz w:val="16"/>
        </w:rPr>
        <w:t>Vu le décret n°2003-1306 du 26 décembre 2003 relatif au régime de retraite des fonctionnaires affiliés à la Caisse Nationale de Retraites des Agents des Collectivités Locales,</w:t>
      </w:r>
    </w:p>
    <w:p w:rsidR="009B4062" w:rsidRDefault="009B4062" w:rsidP="009B4062">
      <w:pPr>
        <w:spacing w:line="59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sz w:val="16"/>
        </w:rPr>
        <w:t xml:space="preserve">Considérant que M LALUT Pascal a épuisé ses droits statutaires à congé de maladie </w:t>
      </w:r>
    </w:p>
    <w:p w:rsidR="009B4062" w:rsidRDefault="009B4062" w:rsidP="009B4062">
      <w:pPr>
        <w:spacing w:line="69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Pr="009B4062" w:rsidRDefault="009B4062" w:rsidP="009B4062">
      <w:pPr>
        <w:spacing w:line="0" w:lineRule="atLeast"/>
        <w:ind w:left="4"/>
        <w:jc w:val="both"/>
        <w:rPr>
          <w:rFonts w:ascii="Century Gothic" w:eastAsia="Century Gothic" w:hAnsi="Century Gothic" w:cs="Century Gothic"/>
          <w:sz w:val="16"/>
        </w:rPr>
      </w:pPr>
      <w:r w:rsidRPr="009B4062">
        <w:rPr>
          <w:rFonts w:ascii="Century Gothic" w:eastAsia="Century Gothic" w:hAnsi="Century Gothic" w:cs="Century Gothic"/>
          <w:sz w:val="16"/>
        </w:rPr>
        <w:t xml:space="preserve">Vu la saisine du comité médical départemental (ou de la commission de réforme) en date du ………….. </w:t>
      </w:r>
      <w:proofErr w:type="gramStart"/>
      <w:r w:rsidRPr="009B4062">
        <w:rPr>
          <w:rFonts w:ascii="Century Gothic" w:eastAsia="Century Gothic" w:hAnsi="Century Gothic" w:cs="Century Gothic"/>
          <w:sz w:val="16"/>
        </w:rPr>
        <w:t>pour</w:t>
      </w:r>
      <w:proofErr w:type="gramEnd"/>
      <w:r>
        <w:rPr>
          <w:rFonts w:ascii="Century Gothic" w:eastAsia="Century Gothic" w:hAnsi="Century Gothic" w:cs="Century Gothic"/>
          <w:sz w:val="16"/>
        </w:rPr>
        <w:t xml:space="preserve"> </w:t>
      </w:r>
      <w:r w:rsidRPr="009B4062">
        <w:rPr>
          <w:rFonts w:ascii="Century Gothic" w:eastAsia="Century Gothic" w:hAnsi="Century Gothic" w:cs="Century Gothic"/>
          <w:sz w:val="16"/>
        </w:rPr>
        <w:t xml:space="preserve"> statuer </w:t>
      </w:r>
      <w:r>
        <w:rPr>
          <w:rFonts w:ascii="Century Gothic" w:eastAsia="Century Gothic" w:hAnsi="Century Gothic" w:cs="Century Gothic"/>
          <w:sz w:val="16"/>
        </w:rPr>
        <w:t xml:space="preserve"> </w:t>
      </w:r>
      <w:r w:rsidRPr="009B4062">
        <w:rPr>
          <w:rFonts w:ascii="Century Gothic" w:eastAsia="Century Gothic" w:hAnsi="Century Gothic" w:cs="Century Gothic"/>
          <w:sz w:val="16"/>
        </w:rPr>
        <w:t>sur</w:t>
      </w:r>
      <w:r>
        <w:rPr>
          <w:rFonts w:ascii="Century Gothic" w:eastAsia="Century Gothic" w:hAnsi="Century Gothic" w:cs="Century Gothic"/>
          <w:sz w:val="16"/>
        </w:rPr>
        <w:t xml:space="preserve"> la situation de l’agent </w:t>
      </w:r>
      <w:r w:rsidRPr="009B4062">
        <w:rPr>
          <w:rFonts w:ascii="Century Gothic" w:eastAsia="Century Gothic" w:hAnsi="Century Gothic" w:cs="Century Gothic"/>
          <w:sz w:val="16"/>
        </w:rPr>
        <w:t>(dans l’attente d’un avis pour la reprise des fonctions ou la réintégration, le reclassement ou la</w:t>
      </w:r>
      <w:r>
        <w:rPr>
          <w:rFonts w:ascii="Century Gothic" w:eastAsia="Century Gothic" w:hAnsi="Century Gothic" w:cs="Century Gothic"/>
          <w:sz w:val="16"/>
        </w:rPr>
        <w:t xml:space="preserve"> </w:t>
      </w:r>
      <w:r w:rsidRPr="009B4062">
        <w:rPr>
          <w:rFonts w:ascii="Century Gothic" w:eastAsia="Century Gothic" w:hAnsi="Century Gothic" w:cs="Century Gothic"/>
          <w:sz w:val="16"/>
        </w:rPr>
        <w:t>mise en disponibilité)</w:t>
      </w:r>
      <w:r>
        <w:rPr>
          <w:rFonts w:ascii="Century Gothic" w:eastAsia="Century Gothic" w:hAnsi="Century Gothic" w:cs="Century Gothic"/>
          <w:sz w:val="16"/>
        </w:rPr>
        <w:t>,</w:t>
      </w:r>
    </w:p>
    <w:p w:rsidR="009B4062" w:rsidRPr="009B4062" w:rsidRDefault="009B4062" w:rsidP="009B4062">
      <w:pPr>
        <w:spacing w:line="319" w:lineRule="exact"/>
        <w:jc w:val="both"/>
        <w:rPr>
          <w:rFonts w:ascii="Century Gothic" w:eastAsia="Century Gothic" w:hAnsi="Century Gothic" w:cs="Century Gothic"/>
          <w:sz w:val="16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i/>
          <w:sz w:val="16"/>
        </w:rPr>
        <w:t>[Dans le cas particulier de l’attente de la décision de mise à la retraite pour invalidité :</w:t>
      </w:r>
    </w:p>
    <w:p w:rsidR="009B4062" w:rsidRDefault="009B4062" w:rsidP="009B4062">
      <w:pPr>
        <w:spacing w:line="7" w:lineRule="exact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9B4062" w:rsidRDefault="009B4062" w:rsidP="009B4062">
      <w:pPr>
        <w:numPr>
          <w:ilvl w:val="0"/>
          <w:numId w:val="1"/>
        </w:numPr>
        <w:tabs>
          <w:tab w:val="left" w:pos="284"/>
        </w:tabs>
        <w:spacing w:line="232" w:lineRule="auto"/>
        <w:ind w:left="284" w:right="20" w:hanging="284"/>
        <w:jc w:val="both"/>
      </w:pPr>
      <w:r>
        <w:rPr>
          <w:rFonts w:ascii="Century Gothic" w:eastAsia="Century Gothic" w:hAnsi="Century Gothic" w:cs="Century Gothic"/>
          <w:sz w:val="16"/>
        </w:rPr>
        <w:t>Vu l’avis du comité médical départemental (</w:t>
      </w:r>
      <w:r>
        <w:rPr>
          <w:rFonts w:ascii="Century Gothic" w:eastAsia="Century Gothic" w:hAnsi="Century Gothic" w:cs="Century Gothic"/>
          <w:i/>
          <w:sz w:val="16"/>
        </w:rPr>
        <w:t>ou de la commission de réforme</w:t>
      </w:r>
      <w:r>
        <w:rPr>
          <w:rFonts w:ascii="Century Gothic" w:eastAsia="Century Gothic" w:hAnsi="Century Gothic" w:cs="Century Gothic"/>
          <w:sz w:val="16"/>
        </w:rPr>
        <w:t>) en date du………………..statuant sur l’inaptitude physique totale et définitive de l’agent à l’exercice de ses fonctions (</w:t>
      </w:r>
      <w:r>
        <w:rPr>
          <w:rFonts w:ascii="Century Gothic" w:eastAsia="Century Gothic" w:hAnsi="Century Gothic" w:cs="Century Gothic"/>
          <w:i/>
          <w:sz w:val="16"/>
        </w:rPr>
        <w:t>ou de toutes fonctions</w:t>
      </w:r>
      <w:r>
        <w:rPr>
          <w:rFonts w:ascii="Century Gothic" w:eastAsia="Century Gothic" w:hAnsi="Century Gothic" w:cs="Century Gothic"/>
          <w:sz w:val="16"/>
        </w:rPr>
        <w:t>),</w:t>
      </w:r>
    </w:p>
    <w:p w:rsidR="009B4062" w:rsidRDefault="009B4062" w:rsidP="009B4062">
      <w:pPr>
        <w:spacing w:line="7" w:lineRule="exact"/>
        <w:jc w:val="both"/>
        <w:rPr>
          <w:rFonts w:ascii="Verdana" w:eastAsia="Verdana" w:hAnsi="Verdana" w:cs="Verdana"/>
          <w:sz w:val="16"/>
        </w:rPr>
      </w:pPr>
    </w:p>
    <w:p w:rsidR="009B4062" w:rsidRDefault="009B4062" w:rsidP="009B4062">
      <w:pPr>
        <w:numPr>
          <w:ilvl w:val="0"/>
          <w:numId w:val="1"/>
        </w:numPr>
        <w:tabs>
          <w:tab w:val="left" w:pos="284"/>
        </w:tabs>
        <w:spacing w:line="232" w:lineRule="auto"/>
        <w:ind w:left="284" w:right="20" w:hanging="284"/>
        <w:jc w:val="both"/>
      </w:pPr>
      <w:r>
        <w:rPr>
          <w:rFonts w:ascii="Century Gothic" w:eastAsia="Century Gothic" w:hAnsi="Century Gothic" w:cs="Century Gothic"/>
          <w:sz w:val="16"/>
        </w:rPr>
        <w:t>Vu l’avis (ou la saisine) de la commission de réforme en date du………………….statuant sur l’admission à la retraite pour invalidité de l’agent,</w:t>
      </w:r>
    </w:p>
    <w:p w:rsidR="009B4062" w:rsidRDefault="009B4062" w:rsidP="009B4062">
      <w:pPr>
        <w:numPr>
          <w:ilvl w:val="0"/>
          <w:numId w:val="1"/>
        </w:numPr>
        <w:tabs>
          <w:tab w:val="left" w:pos="284"/>
        </w:tabs>
        <w:spacing w:line="230" w:lineRule="auto"/>
        <w:ind w:left="284" w:hanging="284"/>
        <w:jc w:val="both"/>
      </w:pPr>
      <w:r>
        <w:rPr>
          <w:rFonts w:ascii="Century Gothic" w:eastAsia="Century Gothic" w:hAnsi="Century Gothic" w:cs="Century Gothic"/>
          <w:sz w:val="16"/>
        </w:rPr>
        <w:t>Considérant la saisine de la CNRACL pour l’admission à la retraite pour invalidité de M……………………………,]</w:t>
      </w:r>
    </w:p>
    <w:p w:rsidR="009B4062" w:rsidRDefault="009B4062" w:rsidP="009B4062">
      <w:pPr>
        <w:spacing w:line="128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0" w:lineRule="atLeast"/>
        <w:ind w:right="196"/>
        <w:jc w:val="center"/>
      </w:pPr>
      <w:r>
        <w:rPr>
          <w:rFonts w:ascii="Century Gothic" w:eastAsia="Century Gothic" w:hAnsi="Century Gothic" w:cs="Century Gothic"/>
          <w:b/>
        </w:rPr>
        <w:t>ARRETE</w:t>
      </w:r>
    </w:p>
    <w:p w:rsidR="009B4062" w:rsidRDefault="009B4062" w:rsidP="009B4062">
      <w:pPr>
        <w:spacing w:line="120" w:lineRule="exac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b/>
          <w:u w:val="single"/>
        </w:rPr>
        <w:t>Article 1</w:t>
      </w:r>
      <w:r>
        <w:rPr>
          <w:rFonts w:ascii="Century Gothic" w:eastAsia="Century Gothic" w:hAnsi="Century Gothic" w:cs="Century Gothic"/>
          <w:b/>
        </w:rPr>
        <w:t xml:space="preserve"> :</w:t>
      </w:r>
    </w:p>
    <w:p w:rsidR="009B4062" w:rsidRDefault="009B4062" w:rsidP="009B4062">
      <w:pPr>
        <w:spacing w:line="3" w:lineRule="exac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</w:rPr>
        <w:t xml:space="preserve">A </w:t>
      </w:r>
      <w:r>
        <w:rPr>
          <w:rFonts w:ascii="Century Gothic" w:eastAsia="Century Gothic" w:hAnsi="Century Gothic" w:cs="Century Gothic"/>
          <w:sz w:val="18"/>
        </w:rPr>
        <w:t xml:space="preserve">compter du </w:t>
      </w:r>
      <w:proofErr w:type="gramStart"/>
      <w:r>
        <w:rPr>
          <w:rFonts w:ascii="Century Gothic" w:eastAsia="Century Gothic" w:hAnsi="Century Gothic" w:cs="Century Gothic"/>
          <w:sz w:val="18"/>
        </w:rPr>
        <w:t>……………….,</w:t>
      </w:r>
      <w:proofErr w:type="gramEnd"/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>M LALUT Pascal est placé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>en disponibilité d’office pour inaptitude physique.</w:t>
      </w:r>
    </w:p>
    <w:p w:rsidR="009B4062" w:rsidRDefault="009B4062" w:rsidP="009B4062">
      <w:pPr>
        <w:spacing w:line="229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Pr="009B4062" w:rsidRDefault="009B4062" w:rsidP="009B4062">
      <w:pPr>
        <w:spacing w:line="0" w:lineRule="atLeast"/>
        <w:ind w:left="4"/>
        <w:jc w:val="both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Article 2</w:t>
      </w:r>
      <w:r w:rsidRPr="009B4062">
        <w:rPr>
          <w:rFonts w:ascii="Century Gothic" w:eastAsia="Century Gothic" w:hAnsi="Century Gothic" w:cs="Century Gothic"/>
          <w:b/>
          <w:u w:val="single"/>
        </w:rPr>
        <w:t xml:space="preserve"> :</w:t>
      </w:r>
    </w:p>
    <w:p w:rsidR="009B4062" w:rsidRDefault="009B4062" w:rsidP="009B4062">
      <w:pPr>
        <w:spacing w:line="232" w:lineRule="auto"/>
        <w:ind w:left="4" w:right="120"/>
        <w:jc w:val="both"/>
      </w:pPr>
      <w:r>
        <w:rPr>
          <w:rFonts w:ascii="Century Gothic" w:eastAsia="Century Gothic" w:hAnsi="Century Gothic" w:cs="Century Gothic"/>
          <w:sz w:val="18"/>
        </w:rPr>
        <w:t>Cette mise en disponibilité d’office est prononcée à titre conservatoire dans l’attente de la réalisation ou de la procédure de reprise de service, ou du reclassement, ou de la disponibilité ou d'admission à la retraite pour invalidité,</w:t>
      </w:r>
    </w:p>
    <w:p w:rsidR="009B4062" w:rsidRDefault="009B4062" w:rsidP="009B4062">
      <w:pPr>
        <w:spacing w:line="229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b/>
          <w:u w:val="single"/>
        </w:rPr>
        <w:t>Article 3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  <w:sz w:val="18"/>
        </w:rPr>
        <w:t>:</w:t>
      </w:r>
    </w:p>
    <w:p w:rsidR="009B4062" w:rsidRDefault="009B4062" w:rsidP="009B4062">
      <w:pPr>
        <w:spacing w:line="228" w:lineRule="auto"/>
        <w:ind w:left="4"/>
        <w:jc w:val="both"/>
      </w:pPr>
      <w:r>
        <w:rPr>
          <w:rFonts w:ascii="Century Gothic" w:eastAsia="Century Gothic" w:hAnsi="Century Gothic" w:cs="Century Gothic"/>
          <w:sz w:val="18"/>
        </w:rPr>
        <w:t>A titre dérogatoire, le paiement du demi-traitement de M LALUT Pascal sera maintenu jusqu’à la date de la décision de reprise de service ou de réintégration, de reclassement, de mise en disponibilité ou d'admission à la retraite (</w:t>
      </w:r>
      <w:r>
        <w:rPr>
          <w:rFonts w:ascii="Century Gothic" w:eastAsia="Century Gothic" w:hAnsi="Century Gothic" w:cs="Century Gothic"/>
          <w:i/>
          <w:sz w:val="18"/>
        </w:rPr>
        <w:t>ne laisser le cas échéant que la mention correspondant à la</w:t>
      </w:r>
      <w:r>
        <w:rPr>
          <w:rFonts w:ascii="Century Gothic" w:eastAsia="Century Gothic" w:hAnsi="Century Gothic" w:cs="Century Gothic"/>
          <w:sz w:val="18"/>
        </w:rPr>
        <w:t xml:space="preserve"> </w:t>
      </w:r>
      <w:r>
        <w:rPr>
          <w:rFonts w:ascii="Century Gothic" w:eastAsia="Century Gothic" w:hAnsi="Century Gothic" w:cs="Century Gothic"/>
          <w:i/>
          <w:sz w:val="18"/>
        </w:rPr>
        <w:t>situation de l’agent</w:t>
      </w:r>
      <w:r>
        <w:rPr>
          <w:rFonts w:ascii="Century Gothic" w:eastAsia="Century Gothic" w:hAnsi="Century Gothic" w:cs="Century Gothic"/>
          <w:sz w:val="18"/>
        </w:rPr>
        <w:t>).</w:t>
      </w:r>
    </w:p>
    <w:p w:rsidR="009B4062" w:rsidRDefault="009B4062" w:rsidP="009B4062">
      <w:pPr>
        <w:spacing w:line="23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b/>
          <w:u w:val="single"/>
        </w:rPr>
        <w:t>Article 4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  <w:sz w:val="18"/>
        </w:rPr>
        <w:t>:</w:t>
      </w:r>
    </w:p>
    <w:p w:rsidR="009B4062" w:rsidRDefault="009B4062" w:rsidP="009B4062">
      <w:pPr>
        <w:spacing w:line="228" w:lineRule="auto"/>
        <w:ind w:left="4"/>
        <w:jc w:val="both"/>
      </w:pPr>
      <w:r>
        <w:rPr>
          <w:rFonts w:ascii="Century Gothic" w:eastAsia="Century Gothic" w:hAnsi="Century Gothic" w:cs="Century Gothic"/>
          <w:sz w:val="18"/>
        </w:rPr>
        <w:t>M LALUT Pascal percevra à compter du ... la moitié de son traitement  afférent à l’indice brut 446, indice majoré 392.</w:t>
      </w:r>
    </w:p>
    <w:p w:rsidR="009B4062" w:rsidRDefault="009B4062" w:rsidP="009B4062">
      <w:pPr>
        <w:spacing w:line="1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sz w:val="18"/>
        </w:rPr>
        <w:t>Ce traitement sera soumis à CSG et CRDS et cotisations CNRACL.</w:t>
      </w:r>
    </w:p>
    <w:p w:rsidR="009B4062" w:rsidRDefault="009B4062" w:rsidP="009B4062">
      <w:pPr>
        <w:spacing w:line="228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 w:rsidRPr="009B4062">
        <w:rPr>
          <w:rFonts w:ascii="Century Gothic" w:eastAsia="Century Gothic" w:hAnsi="Century Gothic" w:cs="Century Gothic"/>
          <w:b/>
          <w:u w:val="single"/>
        </w:rPr>
        <w:t>Article 5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  <w:sz w:val="18"/>
        </w:rPr>
        <w:t>:</w:t>
      </w:r>
    </w:p>
    <w:p w:rsidR="009B4062" w:rsidRDefault="009B4062" w:rsidP="009B4062">
      <w:pPr>
        <w:spacing w:line="228" w:lineRule="auto"/>
        <w:ind w:left="4"/>
        <w:jc w:val="both"/>
      </w:pPr>
      <w:r>
        <w:rPr>
          <w:rFonts w:ascii="Century Gothic" w:eastAsia="Century Gothic" w:hAnsi="Century Gothic" w:cs="Century Gothic"/>
          <w:sz w:val="18"/>
        </w:rPr>
        <w:t xml:space="preserve">La situation définitive de l'agent sera fixée dès réception de </w:t>
      </w:r>
      <w:r>
        <w:rPr>
          <w:rFonts w:ascii="Century Gothic" w:eastAsia="Century Gothic" w:hAnsi="Century Gothic" w:cs="Century Gothic"/>
          <w:i/>
          <w:sz w:val="18"/>
        </w:rPr>
        <w:t>(ou des)</w:t>
      </w:r>
      <w:r>
        <w:rPr>
          <w:rFonts w:ascii="Century Gothic" w:eastAsia="Century Gothic" w:hAnsi="Century Gothic" w:cs="Century Gothic"/>
          <w:sz w:val="18"/>
        </w:rPr>
        <w:t xml:space="preserve"> l’avis attendu(s).</w:t>
      </w:r>
    </w:p>
    <w:p w:rsidR="009B4062" w:rsidRDefault="009B4062" w:rsidP="009B4062">
      <w:pPr>
        <w:spacing w:line="222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Pr="009B4062" w:rsidRDefault="009B4062" w:rsidP="009B4062">
      <w:pPr>
        <w:spacing w:line="0" w:lineRule="atLeast"/>
        <w:ind w:left="4"/>
        <w:jc w:val="both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Article</w:t>
      </w:r>
      <w:r w:rsidRPr="009B4062">
        <w:rPr>
          <w:rFonts w:ascii="Century Gothic" w:eastAsia="Century Gothic" w:hAnsi="Century Gothic" w:cs="Century Gothic"/>
          <w:b/>
          <w:u w:val="single"/>
        </w:rPr>
        <w:t xml:space="preserve"> 6 :</w:t>
      </w:r>
    </w:p>
    <w:p w:rsidR="009B4062" w:rsidRDefault="009B4062" w:rsidP="009B4062">
      <w:pPr>
        <w:spacing w:line="2" w:lineRule="exac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B4062" w:rsidRDefault="009B4062" w:rsidP="009B4062">
      <w:pPr>
        <w:spacing w:line="235" w:lineRule="auto"/>
        <w:ind w:left="4" w:right="140"/>
        <w:jc w:val="both"/>
      </w:pPr>
      <w:r>
        <w:rPr>
          <w:rFonts w:ascii="Century Gothic" w:eastAsia="Century Gothic" w:hAnsi="Century Gothic" w:cs="Century Gothic"/>
          <w:sz w:val="18"/>
        </w:rPr>
        <w:t>L</w:t>
      </w:r>
      <w:r w:rsidR="009644EC">
        <w:rPr>
          <w:rFonts w:ascii="Century Gothic" w:eastAsia="Century Gothic" w:hAnsi="Century Gothic" w:cs="Century Gothic"/>
          <w:sz w:val="18"/>
        </w:rPr>
        <w:t xml:space="preserve">a secrétaire de Mairie </w:t>
      </w:r>
      <w:r>
        <w:rPr>
          <w:rFonts w:ascii="Century Gothic" w:eastAsia="Century Gothic" w:hAnsi="Century Gothic" w:cs="Century Gothic"/>
          <w:sz w:val="18"/>
        </w:rPr>
        <w:t>est chargé</w:t>
      </w:r>
      <w:r w:rsidR="009644EC">
        <w:rPr>
          <w:rFonts w:ascii="Century Gothic" w:eastAsia="Century Gothic" w:hAnsi="Century Gothic" w:cs="Century Gothic"/>
          <w:sz w:val="18"/>
        </w:rPr>
        <w:t>e</w:t>
      </w:r>
      <w:r>
        <w:rPr>
          <w:rFonts w:ascii="Century Gothic" w:eastAsia="Century Gothic" w:hAnsi="Century Gothic" w:cs="Century Gothic"/>
          <w:sz w:val="18"/>
        </w:rPr>
        <w:t xml:space="preserve"> de l'exécution du présent arrêté qui sera :</w:t>
      </w:r>
    </w:p>
    <w:p w:rsidR="009B4062" w:rsidRDefault="009B4062" w:rsidP="009B4062">
      <w:pPr>
        <w:spacing w:line="2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644EC" w:rsidRPr="009644EC" w:rsidRDefault="009B4062" w:rsidP="009644EC">
      <w:pPr>
        <w:tabs>
          <w:tab w:val="left" w:pos="119"/>
        </w:tabs>
        <w:spacing w:line="252" w:lineRule="auto"/>
        <w:ind w:left="4" w:right="7040"/>
        <w:jc w:val="both"/>
      </w:pPr>
      <w:r>
        <w:rPr>
          <w:rFonts w:ascii="Century Gothic" w:eastAsia="Century Gothic" w:hAnsi="Century Gothic" w:cs="Century Gothic"/>
          <w:sz w:val="17"/>
        </w:rPr>
        <w:t xml:space="preserve">Notifié à l'intéressé. </w:t>
      </w:r>
    </w:p>
    <w:p w:rsidR="009644EC" w:rsidRPr="009644EC" w:rsidRDefault="009644EC" w:rsidP="009644EC">
      <w:pPr>
        <w:tabs>
          <w:tab w:val="left" w:pos="119"/>
        </w:tabs>
        <w:spacing w:line="252" w:lineRule="auto"/>
        <w:ind w:left="4" w:right="7040"/>
        <w:jc w:val="both"/>
      </w:pPr>
    </w:p>
    <w:p w:rsidR="009B4062" w:rsidRDefault="009644EC" w:rsidP="009644EC">
      <w:pPr>
        <w:tabs>
          <w:tab w:val="left" w:pos="119"/>
        </w:tabs>
        <w:spacing w:line="252" w:lineRule="auto"/>
        <w:ind w:left="4" w:right="7040"/>
        <w:jc w:val="both"/>
      </w:pPr>
      <w:r>
        <w:rPr>
          <w:rFonts w:ascii="Century Gothic" w:eastAsia="Century Gothic" w:hAnsi="Century Gothic" w:cs="Century Gothic"/>
          <w:sz w:val="17"/>
          <w:u w:val="single"/>
        </w:rPr>
        <w:t xml:space="preserve">Ampliation </w:t>
      </w:r>
      <w:r w:rsidR="009B4062">
        <w:rPr>
          <w:rFonts w:ascii="Century Gothic" w:eastAsia="Century Gothic" w:hAnsi="Century Gothic" w:cs="Century Gothic"/>
          <w:sz w:val="17"/>
          <w:u w:val="single"/>
        </w:rPr>
        <w:t xml:space="preserve">adressée </w:t>
      </w:r>
      <w:r>
        <w:rPr>
          <w:rFonts w:ascii="Century Gothic" w:eastAsia="Century Gothic" w:hAnsi="Century Gothic" w:cs="Century Gothic"/>
          <w:sz w:val="17"/>
          <w:u w:val="single"/>
        </w:rPr>
        <w:t>a</w:t>
      </w:r>
      <w:r w:rsidR="009B4062">
        <w:rPr>
          <w:rFonts w:ascii="Century Gothic" w:eastAsia="Century Gothic" w:hAnsi="Century Gothic" w:cs="Century Gothic"/>
          <w:sz w:val="17"/>
          <w:u w:val="single"/>
        </w:rPr>
        <w:t>u</w:t>
      </w:r>
      <w:r w:rsidR="009B4062">
        <w:rPr>
          <w:rFonts w:ascii="Century Gothic" w:eastAsia="Century Gothic" w:hAnsi="Century Gothic" w:cs="Century Gothic"/>
          <w:sz w:val="17"/>
        </w:rPr>
        <w:t> </w:t>
      </w:r>
    </w:p>
    <w:p w:rsidR="009B4062" w:rsidRDefault="009B4062" w:rsidP="009644EC">
      <w:pPr>
        <w:tabs>
          <w:tab w:val="left" w:pos="124"/>
        </w:tabs>
        <w:spacing w:line="230" w:lineRule="auto"/>
        <w:ind w:left="124"/>
        <w:jc w:val="both"/>
      </w:pPr>
      <w:r>
        <w:rPr>
          <w:rFonts w:ascii="Century Gothic" w:eastAsia="Century Gothic" w:hAnsi="Century Gothic" w:cs="Century Gothic"/>
          <w:sz w:val="18"/>
        </w:rPr>
        <w:t>Président du Centre de Gestion,</w:t>
      </w:r>
    </w:p>
    <w:p w:rsidR="009B4062" w:rsidRDefault="009B4062" w:rsidP="009B4062">
      <w:pPr>
        <w:spacing w:line="1" w:lineRule="exact"/>
        <w:jc w:val="both"/>
        <w:rPr>
          <w:rFonts w:ascii="Century Gothic" w:eastAsia="Century Gothic" w:hAnsi="Century Gothic" w:cs="Century Gothic"/>
          <w:sz w:val="18"/>
        </w:rPr>
      </w:pPr>
    </w:p>
    <w:p w:rsidR="009B4062" w:rsidRPr="009B4062" w:rsidRDefault="009644EC" w:rsidP="009644EC">
      <w:pPr>
        <w:tabs>
          <w:tab w:val="left" w:pos="104"/>
        </w:tabs>
        <w:spacing w:line="0" w:lineRule="atLeast"/>
        <w:ind w:left="104"/>
        <w:jc w:val="both"/>
      </w:pPr>
      <w:r>
        <w:rPr>
          <w:rFonts w:ascii="Century Gothic" w:eastAsia="Century Gothic" w:hAnsi="Century Gothic" w:cs="Century Gothic"/>
          <w:sz w:val="17"/>
        </w:rPr>
        <w:t>C</w:t>
      </w:r>
      <w:r w:rsidR="009B4062">
        <w:rPr>
          <w:rFonts w:ascii="Century Gothic" w:eastAsia="Century Gothic" w:hAnsi="Century Gothic" w:cs="Century Gothic"/>
          <w:sz w:val="17"/>
        </w:rPr>
        <w:t>omptable de la collectivité.</w:t>
      </w:r>
    </w:p>
    <w:p w:rsidR="009B4062" w:rsidRDefault="009B4062" w:rsidP="009B4062">
      <w:pPr>
        <w:pStyle w:val="Paragraphedeliste"/>
      </w:pPr>
    </w:p>
    <w:p w:rsidR="009B4062" w:rsidRDefault="009B4062" w:rsidP="009B4062">
      <w:pPr>
        <w:tabs>
          <w:tab w:val="left" w:pos="104"/>
        </w:tabs>
        <w:spacing w:line="0" w:lineRule="atLeast"/>
        <w:jc w:val="both"/>
      </w:pPr>
    </w:p>
    <w:p w:rsidR="009B4062" w:rsidRDefault="009B4062" w:rsidP="009B4062">
      <w:pPr>
        <w:spacing w:line="1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0" w:lineRule="atLeast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Fait à Aussac-Vadalle,</w:t>
      </w:r>
    </w:p>
    <w:p w:rsidR="009B4062" w:rsidRDefault="009B4062" w:rsidP="009B4062">
      <w:pPr>
        <w:spacing w:line="0" w:lineRule="atLeast"/>
        <w:jc w:val="both"/>
      </w:pPr>
      <w:proofErr w:type="gramStart"/>
      <w:r>
        <w:rPr>
          <w:rFonts w:ascii="Century Gothic" w:eastAsia="Century Gothic" w:hAnsi="Century Gothic" w:cs="Century Gothic"/>
        </w:rPr>
        <w:t>le</w:t>
      </w:r>
      <w:proofErr w:type="gramEnd"/>
      <w:r>
        <w:rPr>
          <w:rFonts w:ascii="Century Gothic" w:eastAsia="Century Gothic" w:hAnsi="Century Gothic" w:cs="Century Gothic"/>
        </w:rPr>
        <w:t xml:space="preserve"> …….,</w:t>
      </w:r>
    </w:p>
    <w:p w:rsidR="009B4062" w:rsidRDefault="009B4062" w:rsidP="009B4062">
      <w:pPr>
        <w:spacing w:line="0" w:lineRule="atLeast"/>
        <w:ind w:left="5984"/>
        <w:jc w:val="righ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Le Maire,</w:t>
      </w:r>
    </w:p>
    <w:p w:rsidR="009B4062" w:rsidRDefault="009B4062" w:rsidP="009B4062">
      <w:pPr>
        <w:spacing w:line="0" w:lineRule="atLeast"/>
        <w:ind w:left="5984"/>
        <w:jc w:val="right"/>
      </w:pPr>
      <w:r>
        <w:rPr>
          <w:rFonts w:ascii="Century Gothic" w:eastAsia="Century Gothic" w:hAnsi="Century Gothic" w:cs="Century Gothic"/>
        </w:rPr>
        <w:t>Gérard LIOT</w:t>
      </w:r>
    </w:p>
    <w:p w:rsidR="009B4062" w:rsidRDefault="009B4062" w:rsidP="009B4062">
      <w:pPr>
        <w:spacing w:line="228" w:lineRule="auto"/>
        <w:ind w:left="4"/>
        <w:jc w:val="both"/>
      </w:pPr>
      <w:r>
        <w:rPr>
          <w:rFonts w:ascii="Century Gothic" w:eastAsia="Century Gothic" w:hAnsi="Century Gothic" w:cs="Century Gothic"/>
          <w:sz w:val="12"/>
        </w:rPr>
        <w:t xml:space="preserve">Le </w:t>
      </w:r>
      <w:proofErr w:type="gramStart"/>
      <w:r>
        <w:rPr>
          <w:rFonts w:ascii="Century Gothic" w:eastAsia="Century Gothic" w:hAnsi="Century Gothic" w:cs="Century Gothic"/>
          <w:sz w:val="12"/>
        </w:rPr>
        <w:t>Maire ,</w:t>
      </w:r>
      <w:proofErr w:type="gramEnd"/>
    </w:p>
    <w:p w:rsidR="009B4062" w:rsidRDefault="009B4062" w:rsidP="009B4062">
      <w:pPr>
        <w:spacing w:line="4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numPr>
          <w:ilvl w:val="0"/>
          <w:numId w:val="3"/>
        </w:numPr>
        <w:tabs>
          <w:tab w:val="left" w:pos="95"/>
        </w:tabs>
        <w:spacing w:line="232" w:lineRule="auto"/>
        <w:ind w:left="4" w:right="7240" w:hanging="4"/>
        <w:jc w:val="both"/>
      </w:pPr>
      <w:r>
        <w:rPr>
          <w:rFonts w:ascii="Century Gothic" w:eastAsia="Century Gothic" w:hAnsi="Century Gothic" w:cs="Century Gothic"/>
          <w:sz w:val="12"/>
        </w:rPr>
        <w:t>certifie sous sa responsabilité le caractère exécutoire de cet acte,</w:t>
      </w:r>
    </w:p>
    <w:p w:rsidR="009B4062" w:rsidRDefault="009B4062" w:rsidP="009B4062">
      <w:pPr>
        <w:spacing w:line="5" w:lineRule="exact"/>
        <w:jc w:val="both"/>
        <w:rPr>
          <w:rFonts w:ascii="Century Gothic" w:eastAsia="Century Gothic" w:hAnsi="Century Gothic" w:cs="Century Gothic"/>
          <w:sz w:val="12"/>
        </w:rPr>
      </w:pPr>
    </w:p>
    <w:p w:rsidR="009B4062" w:rsidRDefault="009B4062" w:rsidP="009B4062">
      <w:pPr>
        <w:numPr>
          <w:ilvl w:val="0"/>
          <w:numId w:val="3"/>
        </w:numPr>
        <w:tabs>
          <w:tab w:val="left" w:pos="114"/>
        </w:tabs>
        <w:spacing w:line="235" w:lineRule="auto"/>
        <w:ind w:left="4" w:right="7240" w:hanging="4"/>
        <w:jc w:val="both"/>
      </w:pPr>
      <w:r>
        <w:rPr>
          <w:rFonts w:ascii="Century Gothic" w:eastAsia="Century Gothic" w:hAnsi="Century Gothic" w:cs="Century Gothic"/>
          <w:sz w:val="12"/>
        </w:rPr>
        <w:t>informe que le présent arrêté peut faire l’objet d’un recours pour excès de pouvoir devant le Tribunal Administratif dans un délai de deux mois à compter de la présente notification.</w:t>
      </w:r>
    </w:p>
    <w:p w:rsidR="009B4062" w:rsidRDefault="009B4062" w:rsidP="009B4062">
      <w:pPr>
        <w:spacing w:line="5" w:lineRule="exact"/>
        <w:jc w:val="both"/>
        <w:rPr>
          <w:rFonts w:ascii="Century Gothic" w:eastAsia="Century Gothic" w:hAnsi="Century Gothic" w:cs="Century Gothic"/>
          <w:sz w:val="12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sz w:val="12"/>
        </w:rPr>
        <w:t>Notifié le .....................................</w:t>
      </w:r>
    </w:p>
    <w:p w:rsidR="009B4062" w:rsidRDefault="009B4062" w:rsidP="009B4062">
      <w:pPr>
        <w:spacing w:line="146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B4062" w:rsidRDefault="009B4062" w:rsidP="009B4062">
      <w:pPr>
        <w:spacing w:line="0" w:lineRule="atLeast"/>
        <w:ind w:left="4"/>
        <w:jc w:val="both"/>
      </w:pPr>
      <w:r>
        <w:rPr>
          <w:rFonts w:ascii="Century Gothic" w:eastAsia="Century Gothic" w:hAnsi="Century Gothic" w:cs="Century Gothic"/>
          <w:sz w:val="12"/>
        </w:rPr>
        <w:t>Signature de l’agent :</w:t>
      </w:r>
    </w:p>
    <w:p w:rsidR="00DF0E5A" w:rsidRDefault="00DF0E5A" w:rsidP="009B4062">
      <w:pPr>
        <w:jc w:val="both"/>
      </w:pPr>
    </w:p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Century Gothic"/>
        <w:sz w:val="16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Century Gothic"/>
        <w:sz w:val="17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Century Gothic"/>
        <w:sz w:val="12"/>
      </w:rPr>
    </w:lvl>
  </w:abstractNum>
  <w:num w:numId="1">
    <w:abstractNumId w:val="0"/>
    <w:lvlOverride w:ilvl="0"/>
  </w:num>
  <w:num w:numId="2">
    <w:abstractNumId w:val="1"/>
    <w:lvlOverride w:ilvl="0"/>
  </w:num>
  <w:num w:numId="3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4062"/>
    <w:rsid w:val="002230BB"/>
    <w:rsid w:val="006E05CD"/>
    <w:rsid w:val="007F6EA7"/>
    <w:rsid w:val="009644EC"/>
    <w:rsid w:val="009B4062"/>
    <w:rsid w:val="00AD2904"/>
    <w:rsid w:val="00B2102F"/>
    <w:rsid w:val="00B718BC"/>
    <w:rsid w:val="00B86CF9"/>
    <w:rsid w:val="00BB22CF"/>
    <w:rsid w:val="00CC3AB0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62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062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2021-06-10T13:49:00Z</dcterms:created>
  <dcterms:modified xsi:type="dcterms:W3CDTF">2021-06-10T14:02:00Z</dcterms:modified>
</cp:coreProperties>
</file>