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0C" w:rsidRDefault="0089310C" w:rsidP="0089310C">
      <w:pPr>
        <w:suppressAutoHyphens/>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Considérant le Communiqué de presse « Hausse des Carburants : Stop au plein de taxes » de l’Association des maires ruraux d’Ille-et-Vilaine du 8 octobre 2018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le projet de loi d’orientation sur les mobilités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la concentration des emplois dans les communes des aires urbaines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l’urgence d’aider aux solutions de financement et d’incitation au recours au covoiturage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l’impasse que revêt la proposition de démultiplier les péages urbains et l’impact financier supplémentaire sur les ménages ruraux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que la hausse répétée des taxes et du baril de pétrole a généré une hausse significative du prix du carburant : +45%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que le prix du gasoil affichait 0,999 € le litre au printemps 2016, et que celui-ci affiche aujourd’hui 1,459 € le litre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que le recours au dispositif d’aide au changement de véhicule n’est pas accessible à tous et ne peut être mobilisé qu’une fois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que les taxes sur les carburants sont un impôt injuste, qui ne viennent pénaliser que certains habitants, sans discernement dans le montant des taxes, qu’ils s’agissent d’usagers dépendants ou bénéficiant d’alternatives à l’usage du véhicule à moteur;</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la dépendance à l’usage de véhicules personnels et la contrainte pour les habitants d’utiliser leur véhicule dans le cadre de leurs activités professionnelles mais aussi des activités des enfants et de l’éloignement des services publics, cette augmentation de plus de 45% vient directement amputer le pouvoir d’achat des ruraux et fragilise des habitants au revenu médian bien inférieur à celui des pôles urbains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à titre d’exemple, pour un couple consommant 45 litres de gasoil par semaine, le surcoût annuel s’élève à : 45 litres * 0,45 € (augmentation) * 52 semaines soit 1053 €, l’équivalent d’un SMIC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Considérant que les populations rurales, et en particulier les habitants de la commune et des communes voisines ne bénéficient pas d’infrastructures comme le métro, tramway, train régional ou lignes de bus ;</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Soucieuse de préserver l’attractivité de la commune, le conseil municipal de la commune d'Aussac-Vadalle,</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ab/>
        <w:t>demande au gouvernement d’instaurer une baisse des taxes sur les carburants et la mise en place de dispositifs pour protéger le pouvoir d’achat des habitants de la commune et plus largement des communes rurales par un dispositif prenant en compte le degré de dépendance à l’usage du véhicule individuel;</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s’oppose à l’instauration de nouvelles discriminations tarifaires pour les habitants de la commune comme les « péages urbains »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demande au Conseil Départemental et au Conseil Régional de déployer des solutions de déplacement collectif intégrant un arrêt de bus dans le village de Vadalle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demande à ce que soient accélérés les outils de développement de solution de télétravail et l’accessibilité pour les salariés vivant dans la commune aux dispositifs de télétravail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interpelle les principaux employeurs du territoire pour favoriser ces formes d’exercice de leur activité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s’engage à développer les solutions pratiques au télétravail dans la commune ou les communes voisines ;</w:t>
      </w:r>
    </w:p>
    <w:p w:rsidR="0089310C" w:rsidRDefault="0089310C" w:rsidP="0089310C">
      <w:pPr>
        <w:numPr>
          <w:ilvl w:val="0"/>
          <w:numId w:val="1"/>
        </w:numPr>
        <w:suppressAutoHyphens/>
        <w:autoSpaceDE w:val="0"/>
        <w:autoSpaceDN w:val="0"/>
        <w:adjustRightInd w:val="0"/>
        <w:spacing w:after="0" w:line="240" w:lineRule="auto"/>
        <w:ind w:hanging="360"/>
        <w:jc w:val="both"/>
        <w:rPr>
          <w:rFonts w:ascii="Calibri" w:hAnsi="Calibri" w:cs="Calibri"/>
          <w:color w:val="000000"/>
        </w:rPr>
      </w:pPr>
      <w:r>
        <w:rPr>
          <w:rFonts w:ascii="Calibri" w:hAnsi="Calibri" w:cs="Calibri"/>
          <w:color w:val="000000"/>
        </w:rPr>
        <w:t>demande aux parlementaires du Département de porter ces considérations et ces propositions dans le débat public et les débats parlementaires.</w:t>
      </w:r>
    </w:p>
    <w:p w:rsidR="0089310C" w:rsidRDefault="0089310C" w:rsidP="0089310C">
      <w:pPr>
        <w:suppressAutoHyphens/>
        <w:autoSpaceDE w:val="0"/>
        <w:autoSpaceDN w:val="0"/>
        <w:adjustRightInd w:val="0"/>
        <w:spacing w:after="0" w:line="240" w:lineRule="auto"/>
        <w:jc w:val="both"/>
        <w:rPr>
          <w:rFonts w:ascii="Calibri" w:hAnsi="Calibri" w:cs="Calibri"/>
          <w:color w:val="000000"/>
        </w:rPr>
      </w:pPr>
    </w:p>
    <w:p w:rsidR="0089310C" w:rsidRDefault="0089310C" w:rsidP="0089310C">
      <w:pPr>
        <w:autoSpaceDE w:val="0"/>
        <w:autoSpaceDN w:val="0"/>
        <w:adjustRightInd w:val="0"/>
        <w:spacing w:after="0" w:line="240" w:lineRule="auto"/>
        <w:rPr>
          <w:rFonts w:ascii="Arial" w:hAnsi="Arial" w:cs="Arial"/>
          <w:sz w:val="20"/>
          <w:szCs w:val="20"/>
        </w:rPr>
      </w:pPr>
      <w:proofErr w:type="spellStart"/>
      <w:r>
        <w:rPr>
          <w:rFonts w:ascii="Arial" w:hAnsi="Arial" w:cs="Arial"/>
          <w:color w:val="000000"/>
          <w:sz w:val="20"/>
          <w:szCs w:val="20"/>
        </w:rPr>
        <w:t>Aprés</w:t>
      </w:r>
      <w:proofErr w:type="spellEnd"/>
      <w:r>
        <w:rPr>
          <w:rFonts w:ascii="Arial" w:hAnsi="Arial" w:cs="Arial"/>
          <w:color w:val="000000"/>
          <w:sz w:val="20"/>
          <w:szCs w:val="20"/>
        </w:rPr>
        <w:t xml:space="preserve"> lecture faite, le Conseil Municipal approuve à l'unanimité. </w:t>
      </w:r>
    </w:p>
    <w:p w:rsidR="00965FCE" w:rsidRDefault="00965FCE"/>
    <w:sectPr w:rsidR="00965FCE" w:rsidSect="00DC0AC5">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D2B48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10C"/>
    <w:rsid w:val="0089310C"/>
    <w:rsid w:val="00965F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2855</Characters>
  <Application>Microsoft Office Word</Application>
  <DocSecurity>0</DocSecurity>
  <Lines>23</Lines>
  <Paragraphs>6</Paragraphs>
  <ScaleCrop>false</ScaleCrop>
  <Company>Hewlett-Packard Company</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2018-11-07T10:43:00Z</dcterms:created>
  <dcterms:modified xsi:type="dcterms:W3CDTF">2018-11-07T10:44:00Z</dcterms:modified>
</cp:coreProperties>
</file>