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A1" w:rsidRPr="00B742D2" w:rsidRDefault="006E1AA1" w:rsidP="00B742D2">
      <w:pPr>
        <w:jc w:val="center"/>
        <w:rPr>
          <w:b/>
          <w:bCs/>
          <w:sz w:val="24"/>
          <w:szCs w:val="24"/>
        </w:rPr>
      </w:pPr>
      <w:r w:rsidRPr="00B742D2">
        <w:rPr>
          <w:b/>
          <w:bCs/>
          <w:sz w:val="24"/>
          <w:szCs w:val="24"/>
        </w:rPr>
        <w:t xml:space="preserve">CONVENTION D’AUTORISATION DE FRANCHISSEMENT D’UN </w:t>
      </w:r>
      <w:r>
        <w:rPr>
          <w:b/>
          <w:bCs/>
          <w:sz w:val="24"/>
          <w:szCs w:val="24"/>
        </w:rPr>
        <w:t xml:space="preserve">CHEMIN RURAL </w:t>
      </w:r>
      <w:r w:rsidRPr="00B742D2">
        <w:rPr>
          <w:b/>
          <w:bCs/>
          <w:sz w:val="24"/>
          <w:szCs w:val="24"/>
        </w:rPr>
        <w:t>INTERCOMMUNAL</w:t>
      </w:r>
    </w:p>
    <w:p w:rsidR="006E1AA1" w:rsidRDefault="006E1AA1">
      <w:pPr>
        <w:rPr>
          <w:sz w:val="24"/>
          <w:szCs w:val="24"/>
        </w:rPr>
      </w:pPr>
    </w:p>
    <w:p w:rsidR="006E1AA1" w:rsidRDefault="006E1AA1">
      <w:pPr>
        <w:rPr>
          <w:sz w:val="24"/>
          <w:szCs w:val="24"/>
        </w:rPr>
      </w:pPr>
    </w:p>
    <w:p w:rsidR="006E1AA1" w:rsidRDefault="006E1AA1">
      <w:pPr>
        <w:rPr>
          <w:sz w:val="24"/>
          <w:szCs w:val="24"/>
        </w:rPr>
      </w:pPr>
    </w:p>
    <w:p w:rsidR="006E1AA1" w:rsidRDefault="006E1AA1">
      <w:pPr>
        <w:rPr>
          <w:sz w:val="24"/>
          <w:szCs w:val="24"/>
        </w:rPr>
      </w:pPr>
    </w:p>
    <w:p w:rsidR="006E1AA1" w:rsidRDefault="006E1AA1" w:rsidP="00D409D9">
      <w:pPr>
        <w:jc w:val="both"/>
        <w:rPr>
          <w:sz w:val="24"/>
          <w:szCs w:val="24"/>
        </w:rPr>
      </w:pPr>
      <w:r>
        <w:rPr>
          <w:sz w:val="24"/>
          <w:szCs w:val="24"/>
        </w:rPr>
        <w:t>ENTRE LES SOUSSIGNES</w:t>
      </w: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Pr="00B742D2" w:rsidRDefault="006E1AA1" w:rsidP="00D409D9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La commune d’Aussac-Vadalle,</w:t>
      </w:r>
    </w:p>
    <w:p w:rsidR="006E1AA1" w:rsidRDefault="006E1AA1" w:rsidP="00D409D9">
      <w:pPr>
        <w:jc w:val="both"/>
        <w:rPr>
          <w:sz w:val="24"/>
          <w:szCs w:val="24"/>
        </w:rPr>
      </w:pPr>
      <w:r>
        <w:rPr>
          <w:sz w:val="24"/>
          <w:szCs w:val="24"/>
        </w:rPr>
        <w:t>Représentée par son Maire, Monsieur Gérard LIOT, dûment habilité à l’effet des présentes, en vertu d’une délibération du Conseil Municipal du 04 avril 2016.</w:t>
      </w: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Default="006E1AA1" w:rsidP="00B742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commune de Maine de Boixe, </w:t>
      </w:r>
    </w:p>
    <w:p w:rsidR="006E1AA1" w:rsidRDefault="006E1AA1" w:rsidP="00B742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Représentée par son Maire, Monsieur Patrick BERTHAULT, dûment habilité à l’effet des présentes, en vertu d’une délibération du Conseil Municipal du </w:t>
      </w: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Default="006E1AA1" w:rsidP="00D409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ENSEMBLE D'UNE PART</w:t>
      </w: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Default="006E1AA1" w:rsidP="00D409D9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Default="006E1AA1" w:rsidP="00D409D9">
      <w:pPr>
        <w:jc w:val="both"/>
        <w:rPr>
          <w:sz w:val="24"/>
          <w:szCs w:val="24"/>
        </w:rPr>
      </w:pPr>
      <w:r>
        <w:rPr>
          <w:sz w:val="24"/>
          <w:szCs w:val="24"/>
        </w:rPr>
        <w:t>GSM, SAS, au capital de 18 675 840 Euros dont le siège social est à aux Technodes – 78930 Guerville, identifiée à l’INSEE sous le numéro  572 165 652  et immatriculée au Registre du Commerce et des Sociétés de VERSAILLES</w:t>
      </w:r>
    </w:p>
    <w:p w:rsidR="006E1AA1" w:rsidRDefault="006E1AA1" w:rsidP="00D409D9">
      <w:pPr>
        <w:jc w:val="both"/>
        <w:rPr>
          <w:sz w:val="24"/>
          <w:szCs w:val="24"/>
        </w:rPr>
      </w:pPr>
      <w:r>
        <w:rPr>
          <w:sz w:val="24"/>
          <w:szCs w:val="24"/>
        </w:rPr>
        <w:t>Représentée par Monsieur Patrice GAZZARIN, Directeur de la Région Sud-Ouest,</w:t>
      </w: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Default="006E1AA1" w:rsidP="00D409D9">
      <w:pPr>
        <w:jc w:val="both"/>
        <w:rPr>
          <w:sz w:val="24"/>
          <w:szCs w:val="24"/>
        </w:rPr>
      </w:pPr>
      <w:r>
        <w:rPr>
          <w:sz w:val="24"/>
          <w:szCs w:val="24"/>
        </w:rPr>
        <w:t>Ci-après dénommée « GSM »</w:t>
      </w: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Default="006E1AA1" w:rsidP="00D409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D'AUTRE PART</w:t>
      </w: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Default="006E1AA1" w:rsidP="00D409D9">
      <w:pPr>
        <w:jc w:val="both"/>
        <w:rPr>
          <w:b/>
          <w:bCs/>
          <w:sz w:val="24"/>
          <w:szCs w:val="24"/>
        </w:rPr>
      </w:pPr>
    </w:p>
    <w:p w:rsidR="006E1AA1" w:rsidRPr="00733267" w:rsidRDefault="006E1AA1" w:rsidP="00D409D9">
      <w:pPr>
        <w:jc w:val="both"/>
        <w:rPr>
          <w:b/>
          <w:bCs/>
          <w:sz w:val="24"/>
          <w:szCs w:val="24"/>
        </w:rPr>
      </w:pPr>
      <w:r w:rsidRPr="00733267">
        <w:rPr>
          <w:b/>
          <w:bCs/>
          <w:sz w:val="24"/>
          <w:szCs w:val="24"/>
        </w:rPr>
        <w:t>IL EST PREALABLEMENT EXPOSE CE QUI SUIT</w:t>
      </w: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Default="006E1AA1" w:rsidP="00D409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Communes d’Aussac-Vadalle et de Maine de Boixe sont propriétaires d’un </w:t>
      </w:r>
      <w:r w:rsidRPr="00392F2E">
        <w:rPr>
          <w:sz w:val="24"/>
          <w:szCs w:val="24"/>
        </w:rPr>
        <w:t>chemin rural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intercommunal, </w:t>
      </w:r>
      <w:r w:rsidRPr="00392F2E">
        <w:rPr>
          <w:sz w:val="24"/>
          <w:szCs w:val="24"/>
        </w:rPr>
        <w:t>dénom</w:t>
      </w:r>
      <w:r>
        <w:rPr>
          <w:sz w:val="24"/>
          <w:szCs w:val="24"/>
        </w:rPr>
        <w:t xml:space="preserve">mé </w:t>
      </w:r>
      <w:r w:rsidRPr="00E37E11">
        <w:rPr>
          <w:sz w:val="24"/>
          <w:szCs w:val="24"/>
        </w:rPr>
        <w:t xml:space="preserve">« chemin rural de la Croisée à Nanclars » </w:t>
      </w:r>
      <w:r>
        <w:rPr>
          <w:sz w:val="24"/>
          <w:szCs w:val="24"/>
        </w:rPr>
        <w:t>lequel appartient à leur domaine privé respectif.</w:t>
      </w: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Default="006E1AA1" w:rsidP="00D409D9">
      <w:pPr>
        <w:jc w:val="both"/>
        <w:rPr>
          <w:sz w:val="24"/>
          <w:szCs w:val="24"/>
        </w:rPr>
      </w:pPr>
      <w:r>
        <w:rPr>
          <w:sz w:val="24"/>
          <w:szCs w:val="24"/>
        </w:rPr>
        <w:t>GSM a déposé le 13 août 2015, un dossier de demande d’autorisation d’exploiter une carrière sur des terrains situés sur les Communes d’Aussac-Vadalle pour une extension, et de Maine de Boixe pour un renouvellement.</w:t>
      </w:r>
    </w:p>
    <w:p w:rsidR="006E1AA1" w:rsidRDefault="006E1AA1" w:rsidP="00D409D9">
      <w:pPr>
        <w:jc w:val="both"/>
        <w:rPr>
          <w:sz w:val="24"/>
          <w:szCs w:val="24"/>
        </w:rPr>
      </w:pPr>
      <w:r>
        <w:rPr>
          <w:sz w:val="24"/>
          <w:szCs w:val="24"/>
        </w:rPr>
        <w:t>L’installation de traitement du tout venant issu des terrains susvisés est située sur la commune de Maine de Boixe.</w:t>
      </w:r>
    </w:p>
    <w:p w:rsidR="006E1AA1" w:rsidRDefault="006E1AA1" w:rsidP="00D409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Dès lors, dans le cas de l’obtention de l’autorisation préfectorale et afin d’acheminer ledit tout venant jusqu’à son installation de traitement, GSM a demandé aux Communes d’Aussac-Vadalle et de Maine de Boixe, de franchir le </w:t>
      </w:r>
      <w:r w:rsidRPr="00392F2E">
        <w:rPr>
          <w:sz w:val="24"/>
          <w:szCs w:val="24"/>
        </w:rPr>
        <w:t>chemin rural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intercommunal </w:t>
      </w:r>
      <w:r w:rsidRPr="0092451A">
        <w:rPr>
          <w:sz w:val="24"/>
          <w:szCs w:val="24"/>
        </w:rPr>
        <w:t>dénommé « chemin rural de la Crois</w:t>
      </w:r>
      <w:r>
        <w:rPr>
          <w:sz w:val="24"/>
          <w:szCs w:val="24"/>
        </w:rPr>
        <w:t>ée à Nanclars » ce que les deux communes ont accepté.</w:t>
      </w: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Default="006E1AA1" w:rsidP="00D409D9">
      <w:pPr>
        <w:jc w:val="both"/>
        <w:rPr>
          <w:sz w:val="24"/>
          <w:szCs w:val="24"/>
        </w:rPr>
      </w:pPr>
      <w:r>
        <w:rPr>
          <w:sz w:val="24"/>
          <w:szCs w:val="24"/>
        </w:rPr>
        <w:t>C’est dans ces conditions que les parties ont décidé de conclure la présente convention, sous les charges et conditions suivantes.</w:t>
      </w: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Pr="009C02AF" w:rsidRDefault="006E1AA1" w:rsidP="00D409D9">
      <w:pPr>
        <w:jc w:val="both"/>
        <w:rPr>
          <w:b/>
          <w:bCs/>
          <w:sz w:val="24"/>
          <w:szCs w:val="24"/>
        </w:rPr>
      </w:pPr>
      <w:r w:rsidRPr="009C02AF">
        <w:rPr>
          <w:b/>
          <w:bCs/>
          <w:sz w:val="24"/>
          <w:szCs w:val="24"/>
        </w:rPr>
        <w:t>CECI EXPOSE, IL EST CONVENU ET ARRETE CE QUI SUIT</w:t>
      </w:r>
      <w:r>
        <w:rPr>
          <w:b/>
          <w:bCs/>
          <w:sz w:val="24"/>
          <w:szCs w:val="24"/>
        </w:rPr>
        <w:t> :</w:t>
      </w: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Default="006E1AA1" w:rsidP="00D409D9">
      <w:pPr>
        <w:jc w:val="both"/>
        <w:rPr>
          <w:b/>
          <w:bCs/>
          <w:sz w:val="24"/>
          <w:szCs w:val="24"/>
        </w:rPr>
      </w:pPr>
    </w:p>
    <w:p w:rsidR="006E1AA1" w:rsidRDefault="006E1AA1" w:rsidP="00D409D9">
      <w:pPr>
        <w:jc w:val="both"/>
        <w:rPr>
          <w:b/>
          <w:bCs/>
          <w:sz w:val="24"/>
          <w:szCs w:val="24"/>
        </w:rPr>
      </w:pPr>
    </w:p>
    <w:p w:rsidR="006E1AA1" w:rsidRDefault="006E1AA1" w:rsidP="00D409D9">
      <w:pPr>
        <w:jc w:val="both"/>
        <w:rPr>
          <w:b/>
          <w:bCs/>
          <w:sz w:val="24"/>
          <w:szCs w:val="24"/>
        </w:rPr>
      </w:pPr>
    </w:p>
    <w:p w:rsidR="006E1AA1" w:rsidRPr="007810D7" w:rsidRDefault="006E1AA1" w:rsidP="00D409D9">
      <w:pPr>
        <w:jc w:val="both"/>
        <w:rPr>
          <w:b/>
          <w:bCs/>
          <w:sz w:val="24"/>
          <w:szCs w:val="24"/>
        </w:rPr>
      </w:pPr>
      <w:r w:rsidRPr="007810D7">
        <w:rPr>
          <w:b/>
          <w:bCs/>
          <w:sz w:val="24"/>
          <w:szCs w:val="24"/>
        </w:rPr>
        <w:t>ARTICLE 1 – OBJET</w:t>
      </w: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Default="006E1AA1" w:rsidP="00D409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les présentes, la Commune d’Aussac-Vadalle et la Commune de Maine de Boixe autorisent GSM à franchir le </w:t>
      </w:r>
      <w:r w:rsidRPr="00392F2E">
        <w:rPr>
          <w:sz w:val="24"/>
          <w:szCs w:val="24"/>
        </w:rPr>
        <w:t xml:space="preserve">chemin rural intercommunal </w:t>
      </w:r>
      <w:r w:rsidRPr="0092451A">
        <w:rPr>
          <w:sz w:val="24"/>
          <w:szCs w:val="24"/>
        </w:rPr>
        <w:t>dénommé « chemin rural de la Croisée à Nanclars » pour les besoins de son activité de carrière, et</w:t>
      </w:r>
      <w:r>
        <w:rPr>
          <w:sz w:val="24"/>
          <w:szCs w:val="24"/>
        </w:rPr>
        <w:t xml:space="preserve"> notamment pour acheminer le tout venant issu des terrains situés sur la Commune d’Aussac-Vadalle, jusqu’à son installation de traitement située sur la Commune de Maine de Boixe, et ce, conformément au dossier qu’elle a déposé le 13 août 2015.</w:t>
      </w: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Default="006E1AA1" w:rsidP="00D409D9">
      <w:pPr>
        <w:jc w:val="both"/>
        <w:rPr>
          <w:b/>
          <w:bCs/>
          <w:sz w:val="24"/>
          <w:szCs w:val="24"/>
        </w:rPr>
      </w:pPr>
    </w:p>
    <w:p w:rsidR="006E1AA1" w:rsidRDefault="006E1AA1" w:rsidP="00D409D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ARTICLE 2 </w:t>
      </w:r>
      <w:r w:rsidRPr="00DE298C">
        <w:rPr>
          <w:b/>
          <w:bCs/>
          <w:sz w:val="24"/>
          <w:szCs w:val="24"/>
        </w:rPr>
        <w:t>– DUREE</w:t>
      </w:r>
    </w:p>
    <w:p w:rsidR="006E1AA1" w:rsidRPr="00DE298C" w:rsidRDefault="006E1AA1" w:rsidP="00D409D9">
      <w:pPr>
        <w:jc w:val="both"/>
        <w:rPr>
          <w:b/>
          <w:bCs/>
          <w:sz w:val="24"/>
          <w:szCs w:val="24"/>
        </w:rPr>
      </w:pPr>
    </w:p>
    <w:p w:rsidR="006E1AA1" w:rsidRPr="00E51A5A" w:rsidRDefault="006E1AA1" w:rsidP="00D409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présente convention est consentie et acceptée pour la durée de l’arrêté préfectoral qui sera délivré à GSM par Monsieur le Préfet de Charente </w:t>
      </w:r>
      <w:r w:rsidRPr="00E51A5A">
        <w:rPr>
          <w:sz w:val="24"/>
          <w:szCs w:val="24"/>
        </w:rPr>
        <w:t xml:space="preserve">et de ses éventuels renouvellements, sans que cette durée ne puisse excéder </w:t>
      </w:r>
      <w:r w:rsidRPr="0092451A">
        <w:rPr>
          <w:sz w:val="24"/>
          <w:szCs w:val="24"/>
        </w:rPr>
        <w:t>50 ans</w:t>
      </w:r>
      <w:r>
        <w:rPr>
          <w:sz w:val="24"/>
          <w:szCs w:val="24"/>
        </w:rPr>
        <w:t xml:space="preserve"> </w:t>
      </w:r>
      <w:r w:rsidRPr="00E51A5A">
        <w:rPr>
          <w:sz w:val="24"/>
          <w:szCs w:val="24"/>
        </w:rPr>
        <w:t>à compter de la</w:t>
      </w:r>
      <w:r>
        <w:rPr>
          <w:sz w:val="24"/>
          <w:szCs w:val="24"/>
        </w:rPr>
        <w:t xml:space="preserve"> délivrance dudit arrêté préfectoral</w:t>
      </w:r>
      <w:r w:rsidRPr="00E51A5A">
        <w:rPr>
          <w:sz w:val="24"/>
          <w:szCs w:val="24"/>
        </w:rPr>
        <w:t>.</w:t>
      </w:r>
    </w:p>
    <w:p w:rsidR="006E1AA1" w:rsidRPr="00E51A5A" w:rsidRDefault="006E1AA1" w:rsidP="00D409D9">
      <w:pPr>
        <w:jc w:val="both"/>
        <w:rPr>
          <w:sz w:val="24"/>
          <w:szCs w:val="24"/>
        </w:rPr>
      </w:pPr>
    </w:p>
    <w:p w:rsidR="006E1AA1" w:rsidRDefault="006E1AA1" w:rsidP="00D409D9">
      <w:pPr>
        <w:jc w:val="both"/>
        <w:rPr>
          <w:sz w:val="24"/>
          <w:szCs w:val="24"/>
        </w:rPr>
      </w:pPr>
      <w:r>
        <w:rPr>
          <w:sz w:val="24"/>
          <w:szCs w:val="24"/>
        </w:rPr>
        <w:t>Elle</w:t>
      </w:r>
      <w:r w:rsidRPr="00891D14">
        <w:rPr>
          <w:sz w:val="24"/>
          <w:szCs w:val="24"/>
        </w:rPr>
        <w:t xml:space="preserve"> </w:t>
      </w:r>
      <w:r>
        <w:rPr>
          <w:sz w:val="24"/>
          <w:szCs w:val="24"/>
        </w:rPr>
        <w:t>prendra fin le jour de l’obtention par GSM du procès-verbal de récolement, qui lui sera délivré par l’Administration.</w:t>
      </w:r>
    </w:p>
    <w:p w:rsidR="006E1AA1" w:rsidRDefault="006E1AA1" w:rsidP="00D409D9">
      <w:pPr>
        <w:jc w:val="both"/>
        <w:rPr>
          <w:rFonts w:ascii="Book Antiqua" w:hAnsi="Book Antiqua" w:cs="Book Antiqua"/>
        </w:rPr>
      </w:pPr>
    </w:p>
    <w:p w:rsidR="006E1AA1" w:rsidRDefault="006E1AA1" w:rsidP="00D409D9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3</w:t>
      </w:r>
      <w:r w:rsidRPr="00467FAF">
        <w:rPr>
          <w:rFonts w:ascii="Times New Roman" w:hAnsi="Times New Roman" w:cs="Times New Roman"/>
          <w:sz w:val="24"/>
          <w:szCs w:val="24"/>
        </w:rPr>
        <w:t xml:space="preserve"> – CHARGES ET CONDITIONS</w:t>
      </w:r>
    </w:p>
    <w:p w:rsidR="006E1AA1" w:rsidRDefault="006E1AA1" w:rsidP="00D409D9">
      <w:pPr>
        <w:jc w:val="both"/>
      </w:pPr>
    </w:p>
    <w:p w:rsidR="006E1AA1" w:rsidRDefault="006E1AA1" w:rsidP="00D409D9">
      <w:pPr>
        <w:jc w:val="both"/>
        <w:rPr>
          <w:sz w:val="24"/>
          <w:szCs w:val="24"/>
        </w:rPr>
      </w:pPr>
      <w:r>
        <w:rPr>
          <w:sz w:val="24"/>
          <w:szCs w:val="24"/>
        </w:rPr>
        <w:t>La présente convention est consentie et acceptée sous les conditions ordinaires de fait et de droit et particulièrement sous les charges et conditions suivantes que GSM s'engage à respecter :</w:t>
      </w: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Pr="00F46E5E" w:rsidRDefault="006E1AA1" w:rsidP="00F46E5E">
      <w:pPr>
        <w:numPr>
          <w:ilvl w:val="0"/>
          <w:numId w:val="4"/>
        </w:numPr>
        <w:jc w:val="both"/>
        <w:rPr>
          <w:sz w:val="24"/>
          <w:szCs w:val="24"/>
        </w:rPr>
      </w:pPr>
      <w:r w:rsidRPr="00F46E5E">
        <w:rPr>
          <w:sz w:val="24"/>
          <w:szCs w:val="24"/>
        </w:rPr>
        <w:t>GSM mettra en place sur le chemin les mesures de sécurité nécessaires</w:t>
      </w:r>
      <w:r>
        <w:rPr>
          <w:sz w:val="24"/>
          <w:szCs w:val="24"/>
        </w:rPr>
        <w:t>.</w:t>
      </w:r>
      <w:r w:rsidRPr="00F46E5E">
        <w:rPr>
          <w:sz w:val="24"/>
          <w:szCs w:val="24"/>
        </w:rPr>
        <w:t xml:space="preserve"> </w:t>
      </w:r>
      <w:r>
        <w:rPr>
          <w:sz w:val="24"/>
          <w:szCs w:val="24"/>
        </w:rPr>
        <w:t>A la demande des 2 mairies et ce par mesure de sécurité, l’accès au chemin rural sera formellement interdit au public sur une section de 300 m comme reporté sur le plan ci-joint.</w:t>
      </w:r>
    </w:p>
    <w:p w:rsidR="006E1AA1" w:rsidRPr="00F46E5E" w:rsidRDefault="006E1AA1" w:rsidP="00F46E5E">
      <w:pPr>
        <w:ind w:left="720"/>
        <w:jc w:val="both"/>
        <w:rPr>
          <w:sz w:val="24"/>
          <w:szCs w:val="24"/>
        </w:rPr>
      </w:pPr>
    </w:p>
    <w:p w:rsidR="006E1AA1" w:rsidRDefault="006E1AA1" w:rsidP="00D409D9">
      <w:pPr>
        <w:numPr>
          <w:ilvl w:val="0"/>
          <w:numId w:val="4"/>
        </w:numPr>
        <w:jc w:val="both"/>
        <w:rPr>
          <w:sz w:val="24"/>
          <w:szCs w:val="24"/>
        </w:rPr>
      </w:pPr>
      <w:r w:rsidRPr="0057670B">
        <w:rPr>
          <w:sz w:val="24"/>
          <w:szCs w:val="24"/>
        </w:rPr>
        <w:t>Un état des lieux sera établi au démarrage de l’exploitation des terrains situés sur la commune d’Aussac-Vadalle. GSM prendra en charge l’entretien et la réparation du chemin permettant de maintenir l’état initial de la portion de chemin utilisée par ses engins</w:t>
      </w:r>
      <w:r>
        <w:rPr>
          <w:sz w:val="24"/>
          <w:szCs w:val="24"/>
        </w:rPr>
        <w:t>,</w:t>
      </w:r>
      <w:r w:rsidRPr="0057670B">
        <w:rPr>
          <w:sz w:val="24"/>
          <w:szCs w:val="24"/>
        </w:rPr>
        <w:t xml:space="preserve"> pour acheminer le tout venant extrait jusqu’à l’installation de traitement.</w:t>
      </w:r>
      <w:r>
        <w:rPr>
          <w:sz w:val="24"/>
          <w:szCs w:val="24"/>
        </w:rPr>
        <w:t xml:space="preserve"> </w:t>
      </w:r>
      <w:r w:rsidRPr="0057670B">
        <w:rPr>
          <w:sz w:val="24"/>
          <w:szCs w:val="24"/>
        </w:rPr>
        <w:t>Le transport se fera à l’aide de tombereaux fonctionnant avec du carburant type GNR.</w:t>
      </w:r>
    </w:p>
    <w:p w:rsidR="006E1AA1" w:rsidRDefault="006E1AA1" w:rsidP="0057670B">
      <w:pPr>
        <w:pStyle w:val="ListParagraph"/>
        <w:rPr>
          <w:sz w:val="24"/>
          <w:szCs w:val="24"/>
        </w:rPr>
      </w:pPr>
    </w:p>
    <w:p w:rsidR="006E1AA1" w:rsidRDefault="006E1AA1" w:rsidP="00FF07C1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</w:p>
    <w:p w:rsidR="006E1AA1" w:rsidRDefault="006E1AA1" w:rsidP="00FF07C1">
      <w:pPr>
        <w:pStyle w:val="Heading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4 – MODALITES d’EXECUTION</w:t>
      </w:r>
    </w:p>
    <w:p w:rsidR="006E1AA1" w:rsidRDefault="006E1AA1" w:rsidP="00D409D9">
      <w:pPr>
        <w:jc w:val="both"/>
        <w:rPr>
          <w:sz w:val="24"/>
          <w:szCs w:val="24"/>
        </w:rPr>
      </w:pPr>
    </w:p>
    <w:p w:rsidR="006E1AA1" w:rsidRDefault="006E1AA1" w:rsidP="00733267">
      <w:pPr>
        <w:jc w:val="both"/>
        <w:rPr>
          <w:sz w:val="24"/>
          <w:szCs w:val="24"/>
        </w:rPr>
      </w:pPr>
      <w:r>
        <w:rPr>
          <w:sz w:val="24"/>
          <w:szCs w:val="24"/>
        </w:rPr>
        <w:t>Aux fins ci-dessus, les Communes d’Aussac-Vadalle et de Maine de Boixe s’engagent, lorsque GSM lui en fera la demande, à édicter tous les</w:t>
      </w:r>
      <w:r w:rsidRPr="00392F2E">
        <w:rPr>
          <w:sz w:val="24"/>
          <w:szCs w:val="24"/>
        </w:rPr>
        <w:t xml:space="preserve"> éventuels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arrêtés requis.</w:t>
      </w:r>
    </w:p>
    <w:p w:rsidR="006E1AA1" w:rsidRDefault="006E1AA1" w:rsidP="00733267">
      <w:pPr>
        <w:jc w:val="both"/>
        <w:rPr>
          <w:sz w:val="24"/>
          <w:szCs w:val="24"/>
        </w:rPr>
      </w:pPr>
    </w:p>
    <w:p w:rsidR="006E1AA1" w:rsidRDefault="006E1AA1" w:rsidP="00733267">
      <w:pPr>
        <w:jc w:val="both"/>
        <w:rPr>
          <w:sz w:val="24"/>
          <w:szCs w:val="24"/>
        </w:rPr>
      </w:pPr>
    </w:p>
    <w:p w:rsidR="006E1AA1" w:rsidRPr="00DE298C" w:rsidRDefault="006E1AA1" w:rsidP="00733267">
      <w:pPr>
        <w:pStyle w:val="Heading1"/>
        <w:rPr>
          <w:b/>
          <w:bCs/>
        </w:rPr>
      </w:pPr>
      <w:r>
        <w:rPr>
          <w:b/>
          <w:bCs/>
        </w:rPr>
        <w:t>ARTICLE 5 - REDEVANCE</w:t>
      </w:r>
    </w:p>
    <w:p w:rsidR="006E1AA1" w:rsidRDefault="006E1AA1" w:rsidP="00733267">
      <w:pPr>
        <w:rPr>
          <w:sz w:val="24"/>
          <w:szCs w:val="24"/>
        </w:rPr>
      </w:pPr>
    </w:p>
    <w:p w:rsidR="006E1AA1" w:rsidRPr="00606A87" w:rsidRDefault="006E1AA1" w:rsidP="00733267">
      <w:pPr>
        <w:jc w:val="both"/>
        <w:rPr>
          <w:rFonts w:ascii="Times" w:hAnsi="Times" w:cs="Times"/>
          <w:sz w:val="24"/>
          <w:szCs w:val="24"/>
          <w:highlight w:val="white"/>
        </w:rPr>
      </w:pPr>
      <w:r>
        <w:rPr>
          <w:rFonts w:ascii="Times" w:hAnsi="Times" w:cs="Times"/>
          <w:sz w:val="24"/>
          <w:szCs w:val="24"/>
          <w:highlight w:val="white"/>
        </w:rPr>
        <w:t xml:space="preserve">En contrepartie de la présente convention de franchissement du chemin intercommunal consentie par les Communes d’Aussac-Vadalle et Maine de </w:t>
      </w:r>
      <w:r w:rsidRPr="00606A87">
        <w:rPr>
          <w:rFonts w:ascii="Times" w:hAnsi="Times" w:cs="Times"/>
          <w:sz w:val="24"/>
          <w:szCs w:val="24"/>
          <w:highlight w:val="white"/>
        </w:rPr>
        <w:t>Boixe et sous réserve que GSM soit titulaire d’un arrêté préfectoral devenu définitif, c'est-à-dire purgé du recours des tiers, GSM versera :</w:t>
      </w:r>
    </w:p>
    <w:p w:rsidR="006E1AA1" w:rsidRDefault="006E1AA1" w:rsidP="00733267">
      <w:pPr>
        <w:jc w:val="both"/>
        <w:rPr>
          <w:rFonts w:ascii="Times" w:hAnsi="Times" w:cs="Times"/>
          <w:sz w:val="24"/>
          <w:szCs w:val="24"/>
          <w:highlight w:val="white"/>
        </w:rPr>
      </w:pPr>
    </w:p>
    <w:p w:rsidR="006E1AA1" w:rsidRDefault="006E1AA1" w:rsidP="006765F8">
      <w:pPr>
        <w:numPr>
          <w:ilvl w:val="0"/>
          <w:numId w:val="2"/>
        </w:numPr>
        <w:jc w:val="both"/>
        <w:rPr>
          <w:rFonts w:ascii="Times" w:hAnsi="Times" w:cs="Times"/>
          <w:sz w:val="24"/>
          <w:szCs w:val="24"/>
          <w:highlight w:val="white"/>
        </w:rPr>
      </w:pPr>
      <w:r>
        <w:rPr>
          <w:rFonts w:ascii="Times" w:hAnsi="Times" w:cs="Times"/>
          <w:sz w:val="24"/>
          <w:szCs w:val="24"/>
          <w:highlight w:val="white"/>
        </w:rPr>
        <w:t xml:space="preserve">A la commune d’Aussac : une redevance annuelle forfaitaire de </w:t>
      </w:r>
      <w:r w:rsidRPr="008931B6">
        <w:rPr>
          <w:rFonts w:ascii="Times" w:hAnsi="Times" w:cs="Times"/>
          <w:b/>
          <w:bCs/>
          <w:sz w:val="24"/>
          <w:szCs w:val="24"/>
          <w:highlight w:val="white"/>
        </w:rPr>
        <w:t xml:space="preserve">7 </w:t>
      </w:r>
      <w:r>
        <w:rPr>
          <w:rFonts w:ascii="Times" w:hAnsi="Times" w:cs="Times"/>
          <w:b/>
          <w:bCs/>
          <w:sz w:val="24"/>
          <w:szCs w:val="24"/>
          <w:highlight w:val="white"/>
        </w:rPr>
        <w:t>5</w:t>
      </w:r>
      <w:r w:rsidRPr="001C7E00">
        <w:rPr>
          <w:rFonts w:ascii="Times" w:hAnsi="Times" w:cs="Times"/>
          <w:b/>
          <w:bCs/>
          <w:sz w:val="24"/>
          <w:szCs w:val="24"/>
          <w:highlight w:val="white"/>
        </w:rPr>
        <w:t>00 €</w:t>
      </w:r>
      <w:r>
        <w:rPr>
          <w:rFonts w:ascii="Times" w:hAnsi="Times" w:cs="Times"/>
          <w:sz w:val="24"/>
          <w:szCs w:val="24"/>
          <w:highlight w:val="white"/>
        </w:rPr>
        <w:t xml:space="preserve"> (sept mille cinq cents euros)</w:t>
      </w:r>
    </w:p>
    <w:p w:rsidR="006E1AA1" w:rsidRDefault="006E1AA1" w:rsidP="000C2DF0">
      <w:pPr>
        <w:numPr>
          <w:ilvl w:val="0"/>
          <w:numId w:val="2"/>
        </w:numPr>
        <w:jc w:val="both"/>
        <w:rPr>
          <w:rFonts w:ascii="Times" w:hAnsi="Times" w:cs="Times"/>
          <w:sz w:val="24"/>
          <w:szCs w:val="24"/>
          <w:highlight w:val="white"/>
        </w:rPr>
      </w:pPr>
      <w:r>
        <w:rPr>
          <w:rFonts w:ascii="Times" w:hAnsi="Times" w:cs="Times"/>
          <w:sz w:val="24"/>
          <w:szCs w:val="24"/>
          <w:highlight w:val="white"/>
        </w:rPr>
        <w:t xml:space="preserve">A la commune de Maine de Boixe : une redevance annuelle forfaitaire de </w:t>
      </w:r>
      <w:r>
        <w:rPr>
          <w:rFonts w:ascii="Times" w:hAnsi="Times" w:cs="Times"/>
          <w:b/>
          <w:bCs/>
          <w:sz w:val="24"/>
          <w:szCs w:val="24"/>
          <w:highlight w:val="white"/>
        </w:rPr>
        <w:t>7 5</w:t>
      </w:r>
      <w:r w:rsidRPr="001C7E00">
        <w:rPr>
          <w:rFonts w:ascii="Times" w:hAnsi="Times" w:cs="Times"/>
          <w:b/>
          <w:bCs/>
          <w:sz w:val="24"/>
          <w:szCs w:val="24"/>
          <w:highlight w:val="white"/>
        </w:rPr>
        <w:t>00 €</w:t>
      </w:r>
      <w:r>
        <w:rPr>
          <w:rFonts w:ascii="Times" w:hAnsi="Times" w:cs="Times"/>
          <w:sz w:val="24"/>
          <w:szCs w:val="24"/>
          <w:highlight w:val="white"/>
        </w:rPr>
        <w:t xml:space="preserve"> (sept mille cinq cents euros)</w:t>
      </w:r>
    </w:p>
    <w:p w:rsidR="006E1AA1" w:rsidRDefault="006E1AA1" w:rsidP="006B6C17">
      <w:pPr>
        <w:jc w:val="both"/>
        <w:rPr>
          <w:rFonts w:ascii="Times" w:hAnsi="Times" w:cs="Times"/>
          <w:sz w:val="24"/>
          <w:szCs w:val="24"/>
          <w:highlight w:val="white"/>
        </w:rPr>
      </w:pPr>
    </w:p>
    <w:p w:rsidR="006E1AA1" w:rsidRPr="00606A87" w:rsidRDefault="006E1AA1" w:rsidP="006B6C17">
      <w:pPr>
        <w:jc w:val="both"/>
        <w:rPr>
          <w:rFonts w:ascii="Times" w:hAnsi="Times" w:cs="Times"/>
          <w:sz w:val="24"/>
          <w:szCs w:val="24"/>
          <w:highlight w:val="white"/>
        </w:rPr>
      </w:pPr>
      <w:r w:rsidRPr="00606A87">
        <w:rPr>
          <w:rFonts w:ascii="Times" w:hAnsi="Times" w:cs="Times"/>
          <w:sz w:val="24"/>
          <w:szCs w:val="24"/>
          <w:highlight w:val="white"/>
        </w:rPr>
        <w:t>Toutefois, dans l’hypothèse où GSM déciderait de mettre le site en exploitation et de franchir le chemin, alors que son arrêté préfectoral n’est pas définitif, GSM versera à chaque Commune la redevance qui lui revient.</w:t>
      </w:r>
    </w:p>
    <w:p w:rsidR="006E1AA1" w:rsidRPr="001C7E00" w:rsidRDefault="006E1AA1" w:rsidP="006B6C17">
      <w:pPr>
        <w:jc w:val="both"/>
        <w:rPr>
          <w:rFonts w:ascii="Times" w:hAnsi="Times" w:cs="Times"/>
          <w:sz w:val="24"/>
          <w:szCs w:val="24"/>
          <w:highlight w:val="white"/>
        </w:rPr>
      </w:pPr>
    </w:p>
    <w:p w:rsidR="006E1AA1" w:rsidRPr="001C7E00" w:rsidRDefault="006E1AA1" w:rsidP="006B6C17">
      <w:pPr>
        <w:jc w:val="both"/>
        <w:rPr>
          <w:rFonts w:ascii="Times" w:hAnsi="Times" w:cs="Times"/>
          <w:b/>
          <w:bCs/>
          <w:sz w:val="24"/>
          <w:szCs w:val="24"/>
          <w:highlight w:val="white"/>
        </w:rPr>
      </w:pPr>
      <w:r w:rsidRPr="001C7E00">
        <w:rPr>
          <w:rFonts w:ascii="Times" w:hAnsi="Times" w:cs="Times"/>
          <w:b/>
          <w:bCs/>
          <w:sz w:val="24"/>
          <w:szCs w:val="24"/>
          <w:highlight w:val="white"/>
        </w:rPr>
        <w:t>Actualisation de la redevance</w:t>
      </w:r>
    </w:p>
    <w:p w:rsidR="006E1AA1" w:rsidRDefault="006E1AA1" w:rsidP="006B6C17">
      <w:pPr>
        <w:jc w:val="both"/>
        <w:rPr>
          <w:rFonts w:ascii="Times" w:hAnsi="Times" w:cs="Times"/>
          <w:sz w:val="24"/>
          <w:szCs w:val="24"/>
          <w:highlight w:val="white"/>
        </w:rPr>
      </w:pPr>
    </w:p>
    <w:p w:rsidR="006E1AA1" w:rsidRDefault="006E1AA1" w:rsidP="006B6C17">
      <w:pPr>
        <w:jc w:val="both"/>
        <w:rPr>
          <w:rFonts w:ascii="Times" w:hAnsi="Times" w:cs="Times"/>
          <w:sz w:val="24"/>
          <w:szCs w:val="24"/>
          <w:highlight w:val="white"/>
        </w:rPr>
      </w:pPr>
      <w:r>
        <w:rPr>
          <w:rFonts w:ascii="Times" w:hAnsi="Times" w:cs="Times"/>
          <w:sz w:val="24"/>
          <w:szCs w:val="24"/>
          <w:highlight w:val="white"/>
        </w:rPr>
        <w:t xml:space="preserve">Les parties en présence décident d’actualiser la redevance en fonction de l’indice </w:t>
      </w:r>
      <w:r w:rsidRPr="001C7E00">
        <w:rPr>
          <w:rFonts w:ascii="Times" w:hAnsi="Times" w:cs="Times"/>
          <w:b/>
          <w:bCs/>
          <w:sz w:val="24"/>
          <w:szCs w:val="24"/>
          <w:highlight w:val="white"/>
        </w:rPr>
        <w:t>GRA</w:t>
      </w:r>
      <w:r>
        <w:rPr>
          <w:rFonts w:ascii="Times" w:hAnsi="Times" w:cs="Times"/>
          <w:sz w:val="24"/>
          <w:szCs w:val="24"/>
          <w:highlight w:val="white"/>
        </w:rPr>
        <w:t>,</w:t>
      </w:r>
    </w:p>
    <w:p w:rsidR="006E1AA1" w:rsidRDefault="006E1AA1" w:rsidP="006B6C17">
      <w:pPr>
        <w:jc w:val="both"/>
        <w:rPr>
          <w:rFonts w:ascii="Times" w:hAnsi="Times" w:cs="Times"/>
          <w:sz w:val="24"/>
          <w:szCs w:val="24"/>
          <w:highlight w:val="white"/>
        </w:rPr>
      </w:pPr>
      <w:r>
        <w:rPr>
          <w:rFonts w:ascii="Times" w:hAnsi="Times" w:cs="Times"/>
          <w:sz w:val="24"/>
          <w:szCs w:val="24"/>
          <w:highlight w:val="white"/>
        </w:rPr>
        <w:t>En application de la formule suivante :</w:t>
      </w:r>
    </w:p>
    <w:p w:rsidR="006E1AA1" w:rsidRPr="001C7E00" w:rsidRDefault="006E1AA1" w:rsidP="006B6C17">
      <w:pPr>
        <w:jc w:val="both"/>
        <w:rPr>
          <w:rFonts w:ascii="Times" w:hAnsi="Times" w:cs="Times"/>
          <w:b/>
          <w:bCs/>
          <w:sz w:val="24"/>
          <w:szCs w:val="24"/>
          <w:highlight w:val="white"/>
        </w:rPr>
      </w:pPr>
      <w:r w:rsidRPr="001C7E00">
        <w:rPr>
          <w:rFonts w:ascii="Times" w:hAnsi="Times" w:cs="Times"/>
          <w:b/>
          <w:bCs/>
          <w:sz w:val="24"/>
          <w:szCs w:val="24"/>
          <w:highlight w:val="white"/>
        </w:rPr>
        <w:t>P = Pu x Ia /Ib</w:t>
      </w:r>
    </w:p>
    <w:p w:rsidR="006E1AA1" w:rsidRDefault="006E1AA1" w:rsidP="006B6C17">
      <w:pPr>
        <w:jc w:val="both"/>
        <w:rPr>
          <w:rFonts w:ascii="Times" w:hAnsi="Times" w:cs="Times"/>
          <w:sz w:val="24"/>
          <w:szCs w:val="24"/>
          <w:highlight w:val="white"/>
        </w:rPr>
      </w:pPr>
    </w:p>
    <w:p w:rsidR="006E1AA1" w:rsidRDefault="006E1AA1" w:rsidP="006B6C17">
      <w:pPr>
        <w:jc w:val="both"/>
        <w:rPr>
          <w:rFonts w:ascii="Times" w:hAnsi="Times" w:cs="Times"/>
          <w:sz w:val="24"/>
          <w:szCs w:val="24"/>
          <w:highlight w:val="white"/>
        </w:rPr>
      </w:pPr>
      <w:r>
        <w:rPr>
          <w:rFonts w:ascii="Times" w:hAnsi="Times" w:cs="Times"/>
          <w:sz w:val="24"/>
          <w:szCs w:val="24"/>
          <w:highlight w:val="white"/>
        </w:rPr>
        <w:t>Dans laquelle :</w:t>
      </w:r>
    </w:p>
    <w:p w:rsidR="006E1AA1" w:rsidRDefault="006E1AA1" w:rsidP="006B6C17">
      <w:pPr>
        <w:jc w:val="both"/>
        <w:rPr>
          <w:rFonts w:ascii="Times" w:hAnsi="Times" w:cs="Times"/>
          <w:sz w:val="24"/>
          <w:szCs w:val="24"/>
          <w:highlight w:val="white"/>
        </w:rPr>
      </w:pPr>
      <w:r w:rsidRPr="001C7E00">
        <w:rPr>
          <w:rFonts w:ascii="Times" w:hAnsi="Times" w:cs="Times"/>
          <w:b/>
          <w:bCs/>
          <w:sz w:val="24"/>
          <w:szCs w:val="24"/>
          <w:highlight w:val="white"/>
        </w:rPr>
        <w:t>P</w:t>
      </w:r>
      <w:r>
        <w:rPr>
          <w:rFonts w:ascii="Times" w:hAnsi="Times" w:cs="Times"/>
          <w:sz w:val="24"/>
          <w:szCs w:val="24"/>
          <w:highlight w:val="white"/>
        </w:rPr>
        <w:t xml:space="preserve"> = </w:t>
      </w:r>
      <w:r>
        <w:rPr>
          <w:rFonts w:ascii="Times" w:hAnsi="Times" w:cs="Times"/>
          <w:sz w:val="24"/>
          <w:szCs w:val="24"/>
          <w:highlight w:val="white"/>
        </w:rPr>
        <w:tab/>
        <w:t>Prix actualisé</w:t>
      </w:r>
    </w:p>
    <w:p w:rsidR="006E1AA1" w:rsidRDefault="006E1AA1" w:rsidP="006B6C17">
      <w:pPr>
        <w:jc w:val="both"/>
        <w:rPr>
          <w:rFonts w:ascii="Times" w:hAnsi="Times" w:cs="Times"/>
          <w:sz w:val="24"/>
          <w:szCs w:val="24"/>
          <w:highlight w:val="white"/>
        </w:rPr>
      </w:pPr>
      <w:r w:rsidRPr="001C7E00">
        <w:rPr>
          <w:rFonts w:ascii="Times" w:hAnsi="Times" w:cs="Times"/>
          <w:b/>
          <w:bCs/>
          <w:sz w:val="24"/>
          <w:szCs w:val="24"/>
          <w:highlight w:val="white"/>
        </w:rPr>
        <w:t>Pu</w:t>
      </w:r>
      <w:r>
        <w:rPr>
          <w:rFonts w:ascii="Times" w:hAnsi="Times" w:cs="Times"/>
          <w:sz w:val="24"/>
          <w:szCs w:val="24"/>
          <w:highlight w:val="white"/>
        </w:rPr>
        <w:t xml:space="preserve"> = </w:t>
      </w:r>
      <w:r>
        <w:rPr>
          <w:rFonts w:ascii="Times" w:hAnsi="Times" w:cs="Times"/>
          <w:sz w:val="24"/>
          <w:szCs w:val="24"/>
          <w:highlight w:val="white"/>
        </w:rPr>
        <w:tab/>
        <w:t>Prix unitaire de base</w:t>
      </w:r>
    </w:p>
    <w:p w:rsidR="006E1AA1" w:rsidRDefault="006E1AA1" w:rsidP="001C7E00">
      <w:pPr>
        <w:ind w:left="705" w:hanging="705"/>
        <w:jc w:val="both"/>
        <w:rPr>
          <w:rFonts w:ascii="Times" w:hAnsi="Times" w:cs="Times"/>
          <w:sz w:val="24"/>
          <w:szCs w:val="24"/>
          <w:highlight w:val="white"/>
        </w:rPr>
      </w:pPr>
      <w:r w:rsidRPr="001C7E00">
        <w:rPr>
          <w:rFonts w:ascii="Times" w:hAnsi="Times" w:cs="Times"/>
          <w:b/>
          <w:bCs/>
          <w:sz w:val="24"/>
          <w:szCs w:val="24"/>
          <w:highlight w:val="white"/>
        </w:rPr>
        <w:t>Ia</w:t>
      </w:r>
      <w:r>
        <w:rPr>
          <w:rFonts w:ascii="Times" w:hAnsi="Times" w:cs="Times"/>
          <w:sz w:val="24"/>
          <w:szCs w:val="24"/>
          <w:highlight w:val="white"/>
        </w:rPr>
        <w:t xml:space="preserve"> = </w:t>
      </w:r>
      <w:r>
        <w:rPr>
          <w:rFonts w:ascii="Times" w:hAnsi="Times" w:cs="Times"/>
          <w:sz w:val="24"/>
          <w:szCs w:val="24"/>
          <w:highlight w:val="white"/>
        </w:rPr>
        <w:tab/>
        <w:t>Indice d’actualisation correspondant à la valeur d’indice publié au jour de chaque paiement de redevance</w:t>
      </w:r>
    </w:p>
    <w:p w:rsidR="006E1AA1" w:rsidRDefault="006E1AA1" w:rsidP="001C7E00">
      <w:pPr>
        <w:ind w:left="705" w:hanging="705"/>
        <w:jc w:val="both"/>
        <w:rPr>
          <w:rFonts w:ascii="Times" w:hAnsi="Times" w:cs="Times"/>
          <w:sz w:val="24"/>
          <w:szCs w:val="24"/>
          <w:highlight w:val="white"/>
        </w:rPr>
      </w:pPr>
      <w:r w:rsidRPr="001C7E00">
        <w:rPr>
          <w:rFonts w:ascii="Times" w:hAnsi="Times" w:cs="Times"/>
          <w:b/>
          <w:bCs/>
          <w:sz w:val="24"/>
          <w:szCs w:val="24"/>
          <w:highlight w:val="white"/>
        </w:rPr>
        <w:t xml:space="preserve">Ib </w:t>
      </w:r>
      <w:r>
        <w:rPr>
          <w:rFonts w:ascii="Times" w:hAnsi="Times" w:cs="Times"/>
          <w:sz w:val="24"/>
          <w:szCs w:val="24"/>
          <w:highlight w:val="white"/>
        </w:rPr>
        <w:t xml:space="preserve">= </w:t>
      </w:r>
      <w:r>
        <w:rPr>
          <w:rFonts w:ascii="Times" w:hAnsi="Times" w:cs="Times"/>
          <w:sz w:val="24"/>
          <w:szCs w:val="24"/>
          <w:highlight w:val="white"/>
        </w:rPr>
        <w:tab/>
        <w:t>Indice de base correspondant à la valeur d’indice publié en décembre 2015 s’établissant à</w:t>
      </w:r>
      <w:r>
        <w:rPr>
          <w:rFonts w:ascii="Times" w:hAnsi="Times" w:cs="Times"/>
          <w:b/>
          <w:bCs/>
          <w:sz w:val="24"/>
          <w:szCs w:val="24"/>
          <w:highlight w:val="white"/>
        </w:rPr>
        <w:t xml:space="preserve"> 119</w:t>
      </w:r>
      <w:r w:rsidRPr="001C7E00">
        <w:rPr>
          <w:rFonts w:ascii="Times" w:hAnsi="Times" w:cs="Times"/>
          <w:b/>
          <w:bCs/>
          <w:sz w:val="24"/>
          <w:szCs w:val="24"/>
          <w:highlight w:val="white"/>
        </w:rPr>
        <w:t>,</w:t>
      </w:r>
      <w:r>
        <w:rPr>
          <w:rFonts w:ascii="Times" w:hAnsi="Times" w:cs="Times"/>
          <w:b/>
          <w:bCs/>
          <w:sz w:val="24"/>
          <w:szCs w:val="24"/>
          <w:highlight w:val="white"/>
        </w:rPr>
        <w:t>9</w:t>
      </w:r>
      <w:r>
        <w:rPr>
          <w:rFonts w:ascii="Times" w:hAnsi="Times" w:cs="Times"/>
          <w:sz w:val="24"/>
          <w:szCs w:val="24"/>
          <w:highlight w:val="white"/>
        </w:rPr>
        <w:t>, dernier indice connu à la date de signature des présentes.</w:t>
      </w:r>
    </w:p>
    <w:p w:rsidR="006E1AA1" w:rsidRPr="000C2DF0" w:rsidRDefault="006E1AA1" w:rsidP="006B6C17">
      <w:pPr>
        <w:jc w:val="both"/>
        <w:rPr>
          <w:rFonts w:ascii="Times" w:hAnsi="Times" w:cs="Times"/>
          <w:sz w:val="24"/>
          <w:szCs w:val="24"/>
          <w:highlight w:val="white"/>
        </w:rPr>
      </w:pPr>
    </w:p>
    <w:p w:rsidR="006E1AA1" w:rsidRDefault="006E1AA1" w:rsidP="000A73EB">
      <w:pPr>
        <w:pStyle w:val="Heading1"/>
        <w:rPr>
          <w:b/>
          <w:bCs/>
        </w:rPr>
      </w:pPr>
    </w:p>
    <w:p w:rsidR="006E1AA1" w:rsidRDefault="006E1AA1" w:rsidP="000A73EB">
      <w:pPr>
        <w:pStyle w:val="Heading1"/>
        <w:rPr>
          <w:b/>
          <w:bCs/>
        </w:rPr>
      </w:pPr>
      <w:r>
        <w:rPr>
          <w:b/>
          <w:bCs/>
        </w:rPr>
        <w:t>ARTICLE 6 – PAIEMENT DE LA REDEVANCE</w:t>
      </w:r>
    </w:p>
    <w:p w:rsidR="006E1AA1" w:rsidRDefault="006E1AA1" w:rsidP="000A73EB"/>
    <w:p w:rsidR="006E1AA1" w:rsidRDefault="006E1AA1" w:rsidP="00F95B83">
      <w:p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GSM paiera la redevance par avance en début d’année. GSM transmettra </w:t>
      </w:r>
      <w:r>
        <w:rPr>
          <w:sz w:val="24"/>
          <w:szCs w:val="24"/>
        </w:rPr>
        <w:t xml:space="preserve">aux Communes d’Aussac-Vadalle et de Maine de Boixe </w:t>
      </w:r>
      <w:r>
        <w:rPr>
          <w:rFonts w:ascii="Times" w:hAnsi="Times" w:cs="Times"/>
          <w:sz w:val="24"/>
          <w:szCs w:val="24"/>
        </w:rPr>
        <w:t xml:space="preserve">le montant indexé de la redevance annuelle à payer  au plus tard le 15 décembre de chaque année afin que celles-ci puissent demander au Trésor public d’émettre un titre de paiement. La redevance ci-dessus visée sera payée par GSM, dans un délai de 1 mois suivant la réception du titre émis par le Trésor Public. </w:t>
      </w:r>
    </w:p>
    <w:p w:rsidR="006E1AA1" w:rsidRDefault="006E1AA1" w:rsidP="000A73EB">
      <w:pPr>
        <w:rPr>
          <w:rFonts w:ascii="Times" w:hAnsi="Times" w:cs="Times"/>
          <w:sz w:val="24"/>
          <w:szCs w:val="24"/>
        </w:rPr>
      </w:pPr>
    </w:p>
    <w:p w:rsidR="006E1AA1" w:rsidRDefault="006E1AA1" w:rsidP="00F95B83">
      <w:p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Le premier règlement interviendra dans les 2 mois qui suivront l’obtention de l’arrêté préfectoral devenu définitif et le montant de la redevance sera indexé et calculé au prorata temporis selon les modalités précitées.</w:t>
      </w:r>
    </w:p>
    <w:p w:rsidR="006E1AA1" w:rsidRDefault="006E1AA1" w:rsidP="000A73EB">
      <w:pPr>
        <w:rPr>
          <w:rFonts w:ascii="Times" w:hAnsi="Times" w:cs="Times"/>
          <w:sz w:val="24"/>
          <w:szCs w:val="24"/>
        </w:rPr>
      </w:pPr>
    </w:p>
    <w:p w:rsidR="006E1AA1" w:rsidRDefault="006E1AA1" w:rsidP="000A73EB">
      <w:pPr>
        <w:rPr>
          <w:rFonts w:ascii="Times" w:hAnsi="Times" w:cs="Times"/>
          <w:sz w:val="24"/>
          <w:szCs w:val="24"/>
        </w:rPr>
      </w:pPr>
    </w:p>
    <w:p w:rsidR="006E1AA1" w:rsidRDefault="006E1AA1" w:rsidP="000A73EB">
      <w:pPr>
        <w:rPr>
          <w:rFonts w:ascii="Times" w:hAnsi="Times" w:cs="Times"/>
          <w:sz w:val="24"/>
          <w:szCs w:val="24"/>
        </w:rPr>
      </w:pPr>
    </w:p>
    <w:p w:rsidR="006E1AA1" w:rsidRDefault="006E1AA1" w:rsidP="00C67D88">
      <w:pPr>
        <w:pStyle w:val="Heading1"/>
        <w:rPr>
          <w:b/>
          <w:bCs/>
        </w:rPr>
      </w:pPr>
      <w:r>
        <w:rPr>
          <w:b/>
          <w:bCs/>
        </w:rPr>
        <w:t>ARTICLE 7 – CONDITION RESOLUTOIRE</w:t>
      </w:r>
    </w:p>
    <w:p w:rsidR="006E1AA1" w:rsidRPr="000A73EB" w:rsidRDefault="006E1AA1" w:rsidP="000A73EB"/>
    <w:p w:rsidR="006E1AA1" w:rsidRDefault="006E1AA1" w:rsidP="00733267">
      <w:pPr>
        <w:jc w:val="both"/>
        <w:rPr>
          <w:rFonts w:ascii="Times" w:hAnsi="Times" w:cs="Times"/>
          <w:sz w:val="24"/>
          <w:szCs w:val="24"/>
          <w:highlight w:val="white"/>
        </w:rPr>
      </w:pPr>
      <w:r>
        <w:rPr>
          <w:rFonts w:ascii="Times" w:hAnsi="Times" w:cs="Times"/>
          <w:sz w:val="24"/>
          <w:szCs w:val="24"/>
          <w:highlight w:val="white"/>
        </w:rPr>
        <w:t>La présente convention sera résolue de plein droit, dans l’hypothèse où GSM n’obtiendrait pas un arrêté préfectoral devenu définitif, tel que visé à l’article 2.</w:t>
      </w:r>
    </w:p>
    <w:p w:rsidR="006E1AA1" w:rsidRPr="00DE298C" w:rsidRDefault="006E1AA1" w:rsidP="00733267">
      <w:pPr>
        <w:rPr>
          <w:b/>
          <w:bCs/>
          <w:sz w:val="24"/>
          <w:szCs w:val="24"/>
        </w:rPr>
      </w:pPr>
    </w:p>
    <w:p w:rsidR="006E1AA1" w:rsidRDefault="006E1AA1" w:rsidP="00733267">
      <w:pPr>
        <w:rPr>
          <w:b/>
          <w:bCs/>
          <w:sz w:val="24"/>
          <w:szCs w:val="24"/>
        </w:rPr>
      </w:pPr>
    </w:p>
    <w:p w:rsidR="006E1AA1" w:rsidRDefault="006E1AA1" w:rsidP="0073326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ARTICLE 8</w:t>
      </w:r>
      <w:r w:rsidRPr="00DE298C">
        <w:rPr>
          <w:b/>
          <w:bCs/>
          <w:sz w:val="24"/>
          <w:szCs w:val="24"/>
        </w:rPr>
        <w:t xml:space="preserve"> – LITIGES</w:t>
      </w:r>
      <w:r>
        <w:rPr>
          <w:sz w:val="24"/>
          <w:szCs w:val="24"/>
        </w:rPr>
        <w:br/>
      </w:r>
    </w:p>
    <w:p w:rsidR="006E1AA1" w:rsidRDefault="006E1AA1" w:rsidP="00733267">
      <w:pPr>
        <w:rPr>
          <w:sz w:val="24"/>
          <w:szCs w:val="24"/>
        </w:rPr>
      </w:pPr>
      <w:r>
        <w:rPr>
          <w:sz w:val="24"/>
          <w:szCs w:val="24"/>
        </w:rPr>
        <w:t>Les litiges qui pourraient s’élever entre les parties du fait de l’exécution ou de l’interprétation de la présente convention seront soumis aux tribunaux compétents.</w:t>
      </w:r>
    </w:p>
    <w:p w:rsidR="006E1AA1" w:rsidRDefault="006E1AA1" w:rsidP="00733267">
      <w:pPr>
        <w:rPr>
          <w:sz w:val="24"/>
          <w:szCs w:val="24"/>
        </w:rPr>
      </w:pPr>
    </w:p>
    <w:p w:rsidR="006E1AA1" w:rsidRDefault="006E1AA1" w:rsidP="00733267">
      <w:pPr>
        <w:rPr>
          <w:sz w:val="24"/>
          <w:szCs w:val="24"/>
        </w:rPr>
      </w:pPr>
    </w:p>
    <w:p w:rsidR="006E1AA1" w:rsidRDefault="006E1AA1" w:rsidP="00733267">
      <w:pPr>
        <w:rPr>
          <w:sz w:val="24"/>
          <w:szCs w:val="24"/>
        </w:rPr>
      </w:pPr>
    </w:p>
    <w:p w:rsidR="006E1AA1" w:rsidRDefault="006E1AA1" w:rsidP="00733267">
      <w:pPr>
        <w:rPr>
          <w:sz w:val="24"/>
          <w:szCs w:val="24"/>
        </w:rPr>
      </w:pPr>
      <w:r>
        <w:rPr>
          <w:sz w:val="24"/>
          <w:szCs w:val="24"/>
        </w:rPr>
        <w:t xml:space="preserve">Fait en quatre exemplaires à </w:t>
      </w:r>
    </w:p>
    <w:p w:rsidR="006E1AA1" w:rsidRDefault="006E1AA1" w:rsidP="00733267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</w:p>
    <w:p w:rsidR="006E1AA1" w:rsidRDefault="006E1AA1" w:rsidP="00733267">
      <w:pPr>
        <w:rPr>
          <w:sz w:val="24"/>
          <w:szCs w:val="24"/>
        </w:rPr>
      </w:pPr>
    </w:p>
    <w:p w:rsidR="006E1AA1" w:rsidRDefault="006E1AA1" w:rsidP="00733267">
      <w:pPr>
        <w:rPr>
          <w:sz w:val="24"/>
          <w:szCs w:val="24"/>
        </w:rPr>
      </w:pPr>
    </w:p>
    <w:p w:rsidR="006E1AA1" w:rsidRDefault="006E1AA1" w:rsidP="00E85E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Commune d’Aussac-Vadalle</w:t>
      </w:r>
      <w:r>
        <w:rPr>
          <w:b/>
          <w:bCs/>
          <w:sz w:val="24"/>
          <w:szCs w:val="24"/>
        </w:rPr>
        <w:tab/>
        <w:t>Commune de Maine de Boixe</w:t>
      </w:r>
      <w:r>
        <w:rPr>
          <w:b/>
          <w:bCs/>
          <w:sz w:val="24"/>
          <w:szCs w:val="24"/>
        </w:rPr>
        <w:tab/>
        <w:t>GSM</w:t>
      </w:r>
    </w:p>
    <w:p w:rsidR="006E1AA1" w:rsidRDefault="006E1AA1" w:rsidP="00E85E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Monsieur Gérard LIOT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Monsieur Patrick BERTAULT</w:t>
      </w:r>
      <w:r>
        <w:rPr>
          <w:b/>
          <w:bCs/>
          <w:sz w:val="24"/>
          <w:szCs w:val="24"/>
        </w:rPr>
        <w:tab/>
        <w:t>P. GAZZARIN</w:t>
      </w:r>
    </w:p>
    <w:p w:rsidR="006E1AA1" w:rsidRDefault="006E1AA1" w:rsidP="000C2DF0">
      <w:pPr>
        <w:ind w:left="1416" w:hanging="141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Maire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Maire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Directeur de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Région</w:t>
      </w:r>
    </w:p>
    <w:sectPr w:rsidR="006E1AA1" w:rsidSect="002C4793">
      <w:headerReference w:type="default" r:id="rId7"/>
      <w:footerReference w:type="default" r:id="rId8"/>
      <w:pgSz w:w="11907" w:h="16840"/>
      <w:pgMar w:top="1418" w:right="1418" w:bottom="1418" w:left="1418" w:header="720" w:footer="720" w:gutter="0"/>
      <w:paperSrc w:first="3" w:other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AA1" w:rsidRDefault="006E1AA1">
      <w:r>
        <w:separator/>
      </w:r>
    </w:p>
  </w:endnote>
  <w:endnote w:type="continuationSeparator" w:id="0">
    <w:p w:rsidR="006E1AA1" w:rsidRDefault="006E1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AA1" w:rsidRDefault="006E1AA1">
    <w:pPr>
      <w:pStyle w:val="Footer"/>
      <w:framePr w:wrap="auto" w:vAnchor="text" w:hAnchor="margin" w:xAlign="right" w:y="1"/>
    </w:pPr>
    <w:fldSimple w:instr="PAGE  ">
      <w:r>
        <w:rPr>
          <w:noProof/>
        </w:rPr>
        <w:t>4</w:t>
      </w:r>
    </w:fldSimple>
  </w:p>
  <w:p w:rsidR="006E1AA1" w:rsidRDefault="006E1AA1">
    <w:pPr>
      <w:pStyle w:val="Footer"/>
      <w:ind w:right="360"/>
    </w:pPr>
    <w:r>
      <w:t>_______________________________________________________________________</w:t>
    </w:r>
  </w:p>
  <w:p w:rsidR="006E1AA1" w:rsidRDefault="006E1AA1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AA1" w:rsidRDefault="006E1AA1">
      <w:r>
        <w:separator/>
      </w:r>
    </w:p>
  </w:footnote>
  <w:footnote w:type="continuationSeparator" w:id="0">
    <w:p w:rsidR="006E1AA1" w:rsidRDefault="006E1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AA1" w:rsidRDefault="006E1A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F067C"/>
    <w:multiLevelType w:val="hybridMultilevel"/>
    <w:tmpl w:val="AB1A6E6C"/>
    <w:lvl w:ilvl="0" w:tplc="E036F342">
      <w:start w:val="7"/>
      <w:numFmt w:val="bullet"/>
      <w:lvlText w:val="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>
    <w:nsid w:val="43E43C33"/>
    <w:multiLevelType w:val="hybridMultilevel"/>
    <w:tmpl w:val="24F2C134"/>
    <w:lvl w:ilvl="0" w:tplc="35A8F3BC">
      <w:start w:val="7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5F164E6"/>
    <w:multiLevelType w:val="hybridMultilevel"/>
    <w:tmpl w:val="602CD41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71A92"/>
    <w:multiLevelType w:val="hybridMultilevel"/>
    <w:tmpl w:val="F5E882D2"/>
    <w:lvl w:ilvl="0" w:tplc="C484975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260"/>
    <w:rsid w:val="00006C45"/>
    <w:rsid w:val="00050A4B"/>
    <w:rsid w:val="000A2DEF"/>
    <w:rsid w:val="000A73EB"/>
    <w:rsid w:val="000B2336"/>
    <w:rsid w:val="000C2DF0"/>
    <w:rsid w:val="000F38D8"/>
    <w:rsid w:val="00124FC7"/>
    <w:rsid w:val="00144D36"/>
    <w:rsid w:val="001759EA"/>
    <w:rsid w:val="00187044"/>
    <w:rsid w:val="001C7E00"/>
    <w:rsid w:val="001E41BB"/>
    <w:rsid w:val="00201D34"/>
    <w:rsid w:val="00223DE2"/>
    <w:rsid w:val="002246BE"/>
    <w:rsid w:val="00236911"/>
    <w:rsid w:val="00251ED9"/>
    <w:rsid w:val="00267362"/>
    <w:rsid w:val="002C4793"/>
    <w:rsid w:val="002F0184"/>
    <w:rsid w:val="00343EDA"/>
    <w:rsid w:val="00362784"/>
    <w:rsid w:val="003814E7"/>
    <w:rsid w:val="003849C2"/>
    <w:rsid w:val="00392F2E"/>
    <w:rsid w:val="003A580C"/>
    <w:rsid w:val="003C31C8"/>
    <w:rsid w:val="003C3F12"/>
    <w:rsid w:val="003C4C3D"/>
    <w:rsid w:val="003E2FBC"/>
    <w:rsid w:val="0043398E"/>
    <w:rsid w:val="00442A11"/>
    <w:rsid w:val="00467FAF"/>
    <w:rsid w:val="00486C9F"/>
    <w:rsid w:val="004B2681"/>
    <w:rsid w:val="004C57CA"/>
    <w:rsid w:val="004E5574"/>
    <w:rsid w:val="0057670B"/>
    <w:rsid w:val="00577523"/>
    <w:rsid w:val="0059255C"/>
    <w:rsid w:val="00606A87"/>
    <w:rsid w:val="006104AA"/>
    <w:rsid w:val="00664EF0"/>
    <w:rsid w:val="00666BE7"/>
    <w:rsid w:val="006765F8"/>
    <w:rsid w:val="0068104B"/>
    <w:rsid w:val="006832BC"/>
    <w:rsid w:val="00695589"/>
    <w:rsid w:val="006B6C17"/>
    <w:rsid w:val="006C2FC6"/>
    <w:rsid w:val="006E1AA1"/>
    <w:rsid w:val="006F4C23"/>
    <w:rsid w:val="007074A3"/>
    <w:rsid w:val="00733267"/>
    <w:rsid w:val="00763260"/>
    <w:rsid w:val="00770E2F"/>
    <w:rsid w:val="007810D7"/>
    <w:rsid w:val="007A77FE"/>
    <w:rsid w:val="007B363A"/>
    <w:rsid w:val="007B616E"/>
    <w:rsid w:val="007C35E0"/>
    <w:rsid w:val="007F48DA"/>
    <w:rsid w:val="0081603B"/>
    <w:rsid w:val="0082077C"/>
    <w:rsid w:val="0084529D"/>
    <w:rsid w:val="00855EF5"/>
    <w:rsid w:val="00865E76"/>
    <w:rsid w:val="00891D14"/>
    <w:rsid w:val="008931B6"/>
    <w:rsid w:val="008B0DF2"/>
    <w:rsid w:val="008C6FCD"/>
    <w:rsid w:val="008D6423"/>
    <w:rsid w:val="008F4F3F"/>
    <w:rsid w:val="0092451A"/>
    <w:rsid w:val="009407B2"/>
    <w:rsid w:val="00952394"/>
    <w:rsid w:val="00955ABA"/>
    <w:rsid w:val="00963461"/>
    <w:rsid w:val="009659F7"/>
    <w:rsid w:val="009A1709"/>
    <w:rsid w:val="009A25DB"/>
    <w:rsid w:val="009B0F1F"/>
    <w:rsid w:val="009B73EB"/>
    <w:rsid w:val="009C02AF"/>
    <w:rsid w:val="00A81E34"/>
    <w:rsid w:val="00A926AB"/>
    <w:rsid w:val="00AE1039"/>
    <w:rsid w:val="00AE2511"/>
    <w:rsid w:val="00AF700E"/>
    <w:rsid w:val="00B0190D"/>
    <w:rsid w:val="00B04257"/>
    <w:rsid w:val="00B05CA6"/>
    <w:rsid w:val="00B2581B"/>
    <w:rsid w:val="00B26FCD"/>
    <w:rsid w:val="00B34430"/>
    <w:rsid w:val="00B43B8C"/>
    <w:rsid w:val="00B57189"/>
    <w:rsid w:val="00B618D6"/>
    <w:rsid w:val="00B742D2"/>
    <w:rsid w:val="00BB06FC"/>
    <w:rsid w:val="00C25179"/>
    <w:rsid w:val="00C67D88"/>
    <w:rsid w:val="00C768A1"/>
    <w:rsid w:val="00CC0E1D"/>
    <w:rsid w:val="00CF2596"/>
    <w:rsid w:val="00D14BC1"/>
    <w:rsid w:val="00D24BD4"/>
    <w:rsid w:val="00D409D9"/>
    <w:rsid w:val="00D428B7"/>
    <w:rsid w:val="00D45F88"/>
    <w:rsid w:val="00D75421"/>
    <w:rsid w:val="00D95643"/>
    <w:rsid w:val="00DB4619"/>
    <w:rsid w:val="00DB6732"/>
    <w:rsid w:val="00DD5B07"/>
    <w:rsid w:val="00DE298C"/>
    <w:rsid w:val="00DF5659"/>
    <w:rsid w:val="00E11041"/>
    <w:rsid w:val="00E278AF"/>
    <w:rsid w:val="00E37E11"/>
    <w:rsid w:val="00E51A5A"/>
    <w:rsid w:val="00E75A45"/>
    <w:rsid w:val="00E7785D"/>
    <w:rsid w:val="00E85E31"/>
    <w:rsid w:val="00EC356C"/>
    <w:rsid w:val="00ED1A5A"/>
    <w:rsid w:val="00F07695"/>
    <w:rsid w:val="00F07ACB"/>
    <w:rsid w:val="00F46E5E"/>
    <w:rsid w:val="00F503D9"/>
    <w:rsid w:val="00F67F9F"/>
    <w:rsid w:val="00F732AD"/>
    <w:rsid w:val="00F81D01"/>
    <w:rsid w:val="00F9280A"/>
    <w:rsid w:val="00F95B83"/>
    <w:rsid w:val="00FF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79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4793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32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32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99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99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99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2C4793"/>
    <w:pPr>
      <w:tabs>
        <w:tab w:val="center" w:pos="4536"/>
        <w:tab w:val="right" w:pos="9072"/>
      </w:tabs>
      <w:spacing w:before="24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D799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3C4C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99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95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955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95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99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955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95"/>
    <w:rPr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rsid w:val="00B3443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7995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57670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1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1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1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1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81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14492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81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81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814498">
                                                              <w:marLeft w:val="225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814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814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814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81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814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9814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1003</Words>
  <Characters>5522</Characters>
  <Application>Microsoft Office Outlook</Application>
  <DocSecurity>0</DocSecurity>
  <Lines>0</Lines>
  <Paragraphs>0</Paragraphs>
  <ScaleCrop>false</ScaleCrop>
  <Company>Services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 A USAGE</dc:title>
  <dc:subject/>
  <dc:creator>ARENA</dc:creator>
  <cp:keywords/>
  <dc:description/>
  <cp:lastModifiedBy>admin</cp:lastModifiedBy>
  <cp:revision>2</cp:revision>
  <cp:lastPrinted>2016-02-04T09:45:00Z</cp:lastPrinted>
  <dcterms:created xsi:type="dcterms:W3CDTF">2016-04-04T15:24:00Z</dcterms:created>
  <dcterms:modified xsi:type="dcterms:W3CDTF">2016-04-04T15:24:00Z</dcterms:modified>
</cp:coreProperties>
</file>