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1B" w:rsidRPr="00CE1111" w:rsidRDefault="00477829" w:rsidP="00B93EE6">
      <w:pPr>
        <w:jc w:val="center"/>
        <w:rPr>
          <w:rFonts w:ascii="Comic Sans MS" w:hAnsi="Comic Sans MS"/>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89041B" w:rsidRPr="00CE1111">
        <w:rPr>
          <w:rFonts w:ascii="Comic Sans MS" w:hAnsi="Comic Sans MS"/>
        </w:rPr>
        <w:t>COMMUNE D’AUSSAC-VADALLE</w:t>
      </w:r>
    </w:p>
    <w:p w:rsidR="0089041B" w:rsidRPr="004D439D" w:rsidRDefault="0089041B" w:rsidP="00B93EE6">
      <w:pPr>
        <w:pStyle w:val="Sous-titre"/>
        <w:rPr>
          <w:rFonts w:cs="Times New Roman"/>
          <w:sz w:val="16"/>
          <w:szCs w:val="16"/>
        </w:rPr>
      </w:pPr>
      <w:r>
        <w:t>Feuille d'informations municipales</w:t>
      </w:r>
    </w:p>
    <w:p w:rsidR="0089041B" w:rsidRPr="00E417E4" w:rsidRDefault="0089041B" w:rsidP="00B93EE6">
      <w:pPr>
        <w:jc w:val="center"/>
        <w:rPr>
          <w:rFonts w:ascii="Arial Narrow" w:hAnsi="Arial Narrow" w:cs="Arial Narrow"/>
          <w:sz w:val="2"/>
          <w:szCs w:val="16"/>
        </w:rPr>
      </w:pPr>
    </w:p>
    <w:p w:rsidR="0089041B" w:rsidRDefault="0089041B" w:rsidP="00B93EE6">
      <w:pPr>
        <w:tabs>
          <w:tab w:val="left" w:pos="4320"/>
        </w:tabs>
        <w:jc w:val="center"/>
        <w:rPr>
          <w:rFonts w:ascii="Arial Narrow" w:hAnsi="Arial Narrow" w:cs="Arial Narrow"/>
          <w:b/>
          <w:bCs/>
        </w:rPr>
      </w:pPr>
      <w:r>
        <w:rPr>
          <w:rFonts w:ascii="Arial Narrow" w:hAnsi="Arial Narrow" w:cs="Arial Narrow"/>
          <w:b/>
          <w:bCs/>
        </w:rPr>
        <w:t>N°27</w:t>
      </w:r>
      <w:r w:rsidR="00297C6B">
        <w:rPr>
          <w:rFonts w:ascii="Arial Narrow" w:hAnsi="Arial Narrow" w:cs="Arial Narrow"/>
          <w:b/>
          <w:bCs/>
        </w:rPr>
        <w:t>1</w:t>
      </w:r>
      <w:r>
        <w:rPr>
          <w:rFonts w:ascii="Arial Narrow" w:hAnsi="Arial Narrow" w:cs="Arial Narrow"/>
          <w:b/>
          <w:bCs/>
        </w:rPr>
        <w:t xml:space="preserve">  du </w:t>
      </w:r>
      <w:r w:rsidR="008A76D2">
        <w:rPr>
          <w:rFonts w:ascii="Arial Narrow" w:hAnsi="Arial Narrow" w:cs="Arial Narrow"/>
          <w:b/>
          <w:bCs/>
        </w:rPr>
        <w:t>22</w:t>
      </w:r>
      <w:r w:rsidR="00297C6B">
        <w:rPr>
          <w:rFonts w:ascii="Arial Narrow" w:hAnsi="Arial Narrow" w:cs="Arial Narrow"/>
          <w:b/>
          <w:bCs/>
        </w:rPr>
        <w:t xml:space="preserve"> mars</w:t>
      </w:r>
      <w:r>
        <w:rPr>
          <w:rFonts w:ascii="Arial Narrow" w:hAnsi="Arial Narrow" w:cs="Arial Narrow"/>
          <w:b/>
          <w:bCs/>
        </w:rPr>
        <w:t xml:space="preserve"> 2024</w:t>
      </w:r>
    </w:p>
    <w:p w:rsidR="0089041B" w:rsidRPr="00C0590F" w:rsidRDefault="0089041B" w:rsidP="0047064A">
      <w:pPr>
        <w:pStyle w:val="Rpertoire"/>
        <w:suppressLineNumbers w:val="0"/>
      </w:pPr>
    </w:p>
    <w:p w:rsidR="0089041B" w:rsidRDefault="0089041B" w:rsidP="00A43118">
      <w:pPr>
        <w:rPr>
          <w:b/>
          <w:bCs/>
          <w:sz w:val="22"/>
          <w:szCs w:val="22"/>
          <w:u w:val="single"/>
        </w:rPr>
      </w:pPr>
    </w:p>
    <w:p w:rsidR="007C096E" w:rsidRDefault="007C096E" w:rsidP="007C096E">
      <w:pPr>
        <w:jc w:val="both"/>
      </w:pPr>
      <w:r>
        <w:rPr>
          <w:b/>
          <w:bCs/>
          <w:u w:val="single"/>
        </w:rPr>
        <w:t xml:space="preserve">Mot du Maire </w:t>
      </w:r>
      <w:r>
        <w:t>:</w:t>
      </w:r>
    </w:p>
    <w:p w:rsidR="007C096E" w:rsidRDefault="007C096E" w:rsidP="007C096E">
      <w:pPr>
        <w:jc w:val="both"/>
      </w:pPr>
    </w:p>
    <w:p w:rsidR="008A76D2" w:rsidRDefault="008A76D2" w:rsidP="007C096E">
      <w:pPr>
        <w:jc w:val="both"/>
      </w:pPr>
    </w:p>
    <w:p w:rsidR="008A76D2" w:rsidRDefault="008A76D2" w:rsidP="007C096E">
      <w:pPr>
        <w:jc w:val="both"/>
      </w:pPr>
    </w:p>
    <w:p w:rsidR="008A76D2" w:rsidRDefault="008A76D2" w:rsidP="007C096E">
      <w:pPr>
        <w:jc w:val="both"/>
      </w:pPr>
    </w:p>
    <w:p w:rsidR="008A76D2" w:rsidRDefault="008A76D2" w:rsidP="007C096E">
      <w:pPr>
        <w:jc w:val="both"/>
      </w:pPr>
    </w:p>
    <w:p w:rsidR="008A76D2" w:rsidRDefault="008A76D2" w:rsidP="007C096E">
      <w:pPr>
        <w:jc w:val="both"/>
      </w:pPr>
    </w:p>
    <w:p w:rsidR="007C096E" w:rsidRDefault="007C096E" w:rsidP="007C096E">
      <w:r>
        <w:t>Le C</w:t>
      </w:r>
      <w:r w:rsidRPr="005533D7">
        <w:t>onseil municipal</w:t>
      </w:r>
      <w:r>
        <w:t>, lors de sa réunion du 11 mars a voté le budget 2024 et a décidé de maintenir les</w:t>
      </w:r>
      <w:r w:rsidRPr="005533D7">
        <w:t xml:space="preserve"> taux communaux des impôts. Un engagement qui est tenu depuis 1995. La valorisation des bases d’imposition décidée par l’Etat va générer des augmentations que nous ne voulons pas accroitre localement. </w:t>
      </w:r>
    </w:p>
    <w:p w:rsidR="007C096E" w:rsidRDefault="007C096E" w:rsidP="007C096E"/>
    <w:p w:rsidR="00535694" w:rsidRPr="00C21C0B" w:rsidRDefault="00535694" w:rsidP="00535694">
      <w:pPr>
        <w:rPr>
          <w:b/>
          <w:bCs/>
          <w:u w:val="single"/>
        </w:rPr>
      </w:pPr>
      <w:r w:rsidRPr="00C21C0B">
        <w:rPr>
          <w:b/>
          <w:bCs/>
          <w:u w:val="single"/>
        </w:rPr>
        <w:t>Vote du Compte Administratif 202</w:t>
      </w:r>
      <w:r>
        <w:rPr>
          <w:b/>
          <w:bCs/>
          <w:u w:val="single"/>
        </w:rPr>
        <w:t>3</w:t>
      </w:r>
      <w:r w:rsidRPr="00C21C0B">
        <w:rPr>
          <w:b/>
          <w:bCs/>
          <w:u w:val="single"/>
        </w:rPr>
        <w:t xml:space="preserve"> : </w:t>
      </w:r>
    </w:p>
    <w:p w:rsidR="00535694" w:rsidRDefault="00535694" w:rsidP="00535694">
      <w:pPr>
        <w:rPr>
          <w:b/>
          <w:bCs/>
          <w:sz w:val="22"/>
          <w:szCs w:val="22"/>
          <w:u w:val="single"/>
        </w:rPr>
      </w:pPr>
    </w:p>
    <w:p w:rsidR="00535694" w:rsidRDefault="00535694" w:rsidP="00535694">
      <w:pPr>
        <w:rPr>
          <w:lang w:eastAsia="ar-SA"/>
        </w:rPr>
      </w:pPr>
      <w:r w:rsidRPr="00D850A4">
        <w:rPr>
          <w:lang w:eastAsia="ar-SA"/>
        </w:rPr>
        <w:t xml:space="preserve">Le </w:t>
      </w:r>
      <w:r>
        <w:rPr>
          <w:lang w:eastAsia="ar-SA"/>
        </w:rPr>
        <w:t>Conseil Municipal a voté le compte administratif 2022, il s’agit de l’exécution du budget en dépenses et en recettes validée par la Trésorière municipale de Ruffec et par le Conseiller aux Décideurs Locaux de la DDFIP.</w:t>
      </w:r>
    </w:p>
    <w:p w:rsidR="00535694" w:rsidRDefault="00535694" w:rsidP="00535694">
      <w:pPr>
        <w:rPr>
          <w:b/>
          <w:lang w:eastAsia="ar-SA"/>
        </w:rPr>
      </w:pPr>
      <w:r>
        <w:rPr>
          <w:lang w:eastAsia="ar-SA"/>
        </w:rPr>
        <w:t xml:space="preserve">Le résultat cumulé de 2022 est </w:t>
      </w:r>
      <w:r w:rsidRPr="001D0C41">
        <w:rPr>
          <w:b/>
          <w:lang w:eastAsia="ar-SA"/>
        </w:rPr>
        <w:t>excédentaire de</w:t>
      </w:r>
      <w:r>
        <w:rPr>
          <w:lang w:eastAsia="ar-SA"/>
        </w:rPr>
        <w:t xml:space="preserve"> </w:t>
      </w:r>
      <w:r>
        <w:rPr>
          <w:b/>
          <w:lang w:eastAsia="ar-SA"/>
        </w:rPr>
        <w:t>98 509,11</w:t>
      </w:r>
      <w:r w:rsidRPr="00E14505">
        <w:rPr>
          <w:b/>
          <w:lang w:eastAsia="ar-SA"/>
        </w:rPr>
        <w:t xml:space="preserve"> €.</w:t>
      </w:r>
    </w:p>
    <w:p w:rsidR="00535694" w:rsidRPr="00A527BE" w:rsidRDefault="00535694" w:rsidP="00535694">
      <w:pPr>
        <w:rPr>
          <w:lang w:eastAsia="ar-SA"/>
        </w:rPr>
      </w:pPr>
      <w:r w:rsidRPr="00A527BE">
        <w:rPr>
          <w:lang w:eastAsia="ar-SA"/>
        </w:rPr>
        <w:t>Conformément à la réglementation le vote du compte administratif comprend les financement</w:t>
      </w:r>
      <w:r>
        <w:rPr>
          <w:lang w:eastAsia="ar-SA"/>
        </w:rPr>
        <w:t>s</w:t>
      </w:r>
      <w:r w:rsidRPr="00A527BE">
        <w:rPr>
          <w:lang w:eastAsia="ar-SA"/>
        </w:rPr>
        <w:t xml:space="preserve"> nécessaires à la complète réalisation des opérations engagées. </w:t>
      </w:r>
      <w:r>
        <w:rPr>
          <w:lang w:eastAsia="ar-SA"/>
        </w:rPr>
        <w:t>L</w:t>
      </w:r>
      <w:r w:rsidRPr="00A527BE">
        <w:rPr>
          <w:lang w:eastAsia="ar-SA"/>
        </w:rPr>
        <w:t xml:space="preserve">e financement des travaux de la traverse de Vadalle est </w:t>
      </w:r>
      <w:r>
        <w:rPr>
          <w:lang w:eastAsia="ar-SA"/>
        </w:rPr>
        <w:t>donc inclus dans ce résultat</w:t>
      </w:r>
      <w:r w:rsidRPr="00A527BE">
        <w:rPr>
          <w:lang w:eastAsia="ar-SA"/>
        </w:rPr>
        <w:t>.</w:t>
      </w:r>
    </w:p>
    <w:p w:rsidR="00535694" w:rsidRDefault="00535694" w:rsidP="00535694">
      <w:pPr>
        <w:rPr>
          <w:lang w:eastAsia="ar-SA"/>
        </w:rPr>
      </w:pPr>
    </w:p>
    <w:p w:rsidR="00535694" w:rsidRDefault="00535694" w:rsidP="00535694">
      <w:pPr>
        <w:rPr>
          <w:lang w:eastAsia="ar-SA"/>
        </w:rPr>
      </w:pPr>
      <w:r>
        <w:rPr>
          <w:lang w:eastAsia="ar-SA"/>
        </w:rPr>
        <w:t>Le CA 2022 avec le report de 2021 et les RAR à réaliser pour 2023s’établit comme suit :</w:t>
      </w:r>
    </w:p>
    <w:p w:rsidR="00535694" w:rsidRPr="00D850A4" w:rsidRDefault="00535694" w:rsidP="00535694">
      <w:pPr>
        <w:jc w:val="center"/>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7"/>
        <w:gridCol w:w="3638"/>
        <w:gridCol w:w="3638"/>
      </w:tblGrid>
      <w:tr w:rsidR="00535694" w:rsidRPr="00D850A4" w:rsidTr="002B0E79">
        <w:tc>
          <w:tcPr>
            <w:tcW w:w="3637" w:type="dxa"/>
          </w:tcPr>
          <w:p w:rsidR="00535694" w:rsidRPr="00D850A4" w:rsidRDefault="00535694" w:rsidP="002B0E79">
            <w:pPr>
              <w:jc w:val="center"/>
              <w:rPr>
                <w:lang w:eastAsia="ar-SA"/>
              </w:rPr>
            </w:pPr>
          </w:p>
        </w:tc>
        <w:tc>
          <w:tcPr>
            <w:tcW w:w="3638" w:type="dxa"/>
          </w:tcPr>
          <w:p w:rsidR="00535694" w:rsidRPr="00150B42" w:rsidRDefault="00535694" w:rsidP="002B0E79">
            <w:pPr>
              <w:jc w:val="center"/>
              <w:rPr>
                <w:b/>
                <w:u w:val="single"/>
                <w:lang w:eastAsia="ar-SA"/>
              </w:rPr>
            </w:pPr>
            <w:r w:rsidRPr="00150B42">
              <w:rPr>
                <w:b/>
                <w:u w:val="single"/>
                <w:lang w:eastAsia="ar-SA"/>
              </w:rPr>
              <w:t>DEPENSES</w:t>
            </w:r>
          </w:p>
        </w:tc>
        <w:tc>
          <w:tcPr>
            <w:tcW w:w="3638" w:type="dxa"/>
          </w:tcPr>
          <w:p w:rsidR="00535694" w:rsidRPr="00150B42" w:rsidRDefault="00535694" w:rsidP="002B0E79">
            <w:pPr>
              <w:jc w:val="center"/>
              <w:rPr>
                <w:b/>
                <w:u w:val="single"/>
                <w:lang w:eastAsia="ar-SA"/>
              </w:rPr>
            </w:pPr>
            <w:r w:rsidRPr="00150B42">
              <w:rPr>
                <w:b/>
                <w:u w:val="single"/>
                <w:lang w:eastAsia="ar-SA"/>
              </w:rPr>
              <w:t>RECETTES</w:t>
            </w:r>
          </w:p>
        </w:tc>
      </w:tr>
      <w:tr w:rsidR="00535694" w:rsidRPr="00D850A4" w:rsidTr="002B0E79">
        <w:trPr>
          <w:trHeight w:val="386"/>
        </w:trPr>
        <w:tc>
          <w:tcPr>
            <w:tcW w:w="3637" w:type="dxa"/>
          </w:tcPr>
          <w:p w:rsidR="00535694" w:rsidRPr="00D850A4" w:rsidRDefault="00535694" w:rsidP="002B0E79">
            <w:pPr>
              <w:jc w:val="center"/>
              <w:rPr>
                <w:lang w:eastAsia="ar-SA"/>
              </w:rPr>
            </w:pPr>
            <w:r w:rsidRPr="00D850A4">
              <w:rPr>
                <w:lang w:eastAsia="ar-SA"/>
              </w:rPr>
              <w:t>Section de fonctionnement</w:t>
            </w:r>
          </w:p>
        </w:tc>
        <w:tc>
          <w:tcPr>
            <w:tcW w:w="3638" w:type="dxa"/>
          </w:tcPr>
          <w:p w:rsidR="00535694" w:rsidRPr="00D850A4" w:rsidRDefault="00535694" w:rsidP="002B0E79">
            <w:pPr>
              <w:tabs>
                <w:tab w:val="left" w:pos="899"/>
              </w:tabs>
              <w:jc w:val="center"/>
              <w:rPr>
                <w:lang w:eastAsia="ar-SA"/>
              </w:rPr>
            </w:pPr>
            <w:r>
              <w:rPr>
                <w:lang w:eastAsia="ar-SA"/>
              </w:rPr>
              <w:t xml:space="preserve">    506 142,61 €</w:t>
            </w:r>
          </w:p>
        </w:tc>
        <w:tc>
          <w:tcPr>
            <w:tcW w:w="3638" w:type="dxa"/>
          </w:tcPr>
          <w:p w:rsidR="00535694" w:rsidRPr="00D850A4" w:rsidRDefault="00535694" w:rsidP="002B0E79">
            <w:pPr>
              <w:jc w:val="center"/>
              <w:rPr>
                <w:lang w:eastAsia="ar-SA"/>
              </w:rPr>
            </w:pPr>
            <w:r>
              <w:rPr>
                <w:lang w:eastAsia="ar-SA"/>
              </w:rPr>
              <w:t xml:space="preserve">   716 019,73 €</w:t>
            </w:r>
          </w:p>
        </w:tc>
      </w:tr>
      <w:tr w:rsidR="00535694" w:rsidRPr="00D850A4" w:rsidTr="002B0E79">
        <w:trPr>
          <w:trHeight w:val="331"/>
        </w:trPr>
        <w:tc>
          <w:tcPr>
            <w:tcW w:w="3637" w:type="dxa"/>
          </w:tcPr>
          <w:p w:rsidR="00535694" w:rsidRPr="00D850A4" w:rsidRDefault="00535694" w:rsidP="002B0E79">
            <w:pPr>
              <w:jc w:val="center"/>
              <w:rPr>
                <w:lang w:eastAsia="ar-SA"/>
              </w:rPr>
            </w:pPr>
            <w:r w:rsidRPr="00D850A4">
              <w:rPr>
                <w:lang w:eastAsia="ar-SA"/>
              </w:rPr>
              <w:t>Section d’investissement</w:t>
            </w:r>
          </w:p>
        </w:tc>
        <w:tc>
          <w:tcPr>
            <w:tcW w:w="3638" w:type="dxa"/>
          </w:tcPr>
          <w:p w:rsidR="00535694" w:rsidRPr="00D850A4" w:rsidRDefault="00535694" w:rsidP="002B0E79">
            <w:pPr>
              <w:rPr>
                <w:lang w:eastAsia="ar-SA"/>
              </w:rPr>
            </w:pPr>
            <w:r>
              <w:rPr>
                <w:lang w:eastAsia="ar-SA"/>
              </w:rPr>
              <w:t xml:space="preserve">                  1 243 524,87 €</w:t>
            </w:r>
          </w:p>
        </w:tc>
        <w:tc>
          <w:tcPr>
            <w:tcW w:w="3638" w:type="dxa"/>
          </w:tcPr>
          <w:p w:rsidR="00535694" w:rsidRPr="00D850A4" w:rsidRDefault="00535694" w:rsidP="002B0E79">
            <w:pPr>
              <w:jc w:val="center"/>
              <w:rPr>
                <w:lang w:eastAsia="ar-SA"/>
              </w:rPr>
            </w:pPr>
            <w:r>
              <w:rPr>
                <w:lang w:eastAsia="ar-SA"/>
              </w:rPr>
              <w:t>1 132 156,86 €</w:t>
            </w:r>
          </w:p>
        </w:tc>
      </w:tr>
      <w:tr w:rsidR="00535694" w:rsidRPr="00D850A4" w:rsidTr="002B0E79">
        <w:trPr>
          <w:trHeight w:val="331"/>
        </w:trPr>
        <w:tc>
          <w:tcPr>
            <w:tcW w:w="3637" w:type="dxa"/>
          </w:tcPr>
          <w:p w:rsidR="00535694" w:rsidRPr="00D850A4" w:rsidRDefault="00535694" w:rsidP="002B0E79">
            <w:pPr>
              <w:jc w:val="center"/>
              <w:rPr>
                <w:lang w:eastAsia="ar-SA"/>
              </w:rPr>
            </w:pPr>
            <w:r w:rsidRPr="00D850A4">
              <w:rPr>
                <w:lang w:eastAsia="ar-SA"/>
              </w:rPr>
              <w:t>Total Cumulé</w:t>
            </w:r>
          </w:p>
        </w:tc>
        <w:tc>
          <w:tcPr>
            <w:tcW w:w="3638" w:type="dxa"/>
          </w:tcPr>
          <w:p w:rsidR="00535694" w:rsidRPr="00D850A4" w:rsidRDefault="00535694" w:rsidP="002B0E79">
            <w:pPr>
              <w:jc w:val="center"/>
              <w:rPr>
                <w:lang w:eastAsia="ar-SA"/>
              </w:rPr>
            </w:pPr>
            <w:r>
              <w:rPr>
                <w:lang w:eastAsia="ar-SA"/>
              </w:rPr>
              <w:t xml:space="preserve">  1 749 667,48 €</w:t>
            </w:r>
          </w:p>
        </w:tc>
        <w:tc>
          <w:tcPr>
            <w:tcW w:w="3638" w:type="dxa"/>
          </w:tcPr>
          <w:p w:rsidR="00535694" w:rsidRPr="00D850A4" w:rsidRDefault="00535694" w:rsidP="002B0E79">
            <w:pPr>
              <w:jc w:val="center"/>
              <w:rPr>
                <w:lang w:eastAsia="ar-SA"/>
              </w:rPr>
            </w:pPr>
            <w:r>
              <w:rPr>
                <w:lang w:eastAsia="ar-SA"/>
              </w:rPr>
              <w:t>1 848 176,59 €</w:t>
            </w:r>
          </w:p>
        </w:tc>
      </w:tr>
      <w:tr w:rsidR="00535694" w:rsidRPr="00D850A4" w:rsidTr="002B0E79">
        <w:trPr>
          <w:trHeight w:val="413"/>
        </w:trPr>
        <w:tc>
          <w:tcPr>
            <w:tcW w:w="3637" w:type="dxa"/>
          </w:tcPr>
          <w:p w:rsidR="00535694" w:rsidRPr="00D850A4" w:rsidRDefault="00535694" w:rsidP="002B0E79">
            <w:pPr>
              <w:jc w:val="center"/>
              <w:rPr>
                <w:lang w:eastAsia="ar-SA"/>
              </w:rPr>
            </w:pPr>
            <w:r w:rsidRPr="00D850A4">
              <w:rPr>
                <w:lang w:eastAsia="ar-SA"/>
              </w:rPr>
              <w:t>Résultat excédentaire</w:t>
            </w:r>
          </w:p>
        </w:tc>
        <w:tc>
          <w:tcPr>
            <w:tcW w:w="3638" w:type="dxa"/>
          </w:tcPr>
          <w:p w:rsidR="00535694" w:rsidRPr="00D850A4" w:rsidRDefault="00535694" w:rsidP="002B0E79">
            <w:pPr>
              <w:jc w:val="center"/>
              <w:rPr>
                <w:lang w:eastAsia="ar-SA"/>
              </w:rPr>
            </w:pPr>
          </w:p>
        </w:tc>
        <w:tc>
          <w:tcPr>
            <w:tcW w:w="3638" w:type="dxa"/>
          </w:tcPr>
          <w:p w:rsidR="00535694" w:rsidRPr="00A527BE" w:rsidRDefault="00535694" w:rsidP="002B0E79">
            <w:pPr>
              <w:jc w:val="center"/>
              <w:rPr>
                <w:b/>
                <w:lang w:eastAsia="ar-SA"/>
              </w:rPr>
            </w:pPr>
            <w:r>
              <w:rPr>
                <w:lang w:eastAsia="ar-SA"/>
              </w:rPr>
              <w:t xml:space="preserve">    </w:t>
            </w:r>
            <w:r w:rsidRPr="00A527BE">
              <w:rPr>
                <w:b/>
                <w:lang w:eastAsia="ar-SA"/>
              </w:rPr>
              <w:t>98 509,11 €</w:t>
            </w:r>
          </w:p>
        </w:tc>
      </w:tr>
    </w:tbl>
    <w:p w:rsidR="00535694" w:rsidRDefault="00535694" w:rsidP="00535694">
      <w:pPr>
        <w:jc w:val="center"/>
        <w:rPr>
          <w:i/>
          <w:lang w:eastAsia="ar-SA"/>
        </w:rPr>
      </w:pPr>
      <w:r w:rsidRPr="00F44120">
        <w:rPr>
          <w:i/>
          <w:lang w:eastAsia="ar-SA"/>
        </w:rPr>
        <w:t>Le détail du CA 2022 est consultable au secrétariat de la mairie.</w:t>
      </w:r>
    </w:p>
    <w:p w:rsidR="00535694" w:rsidRDefault="00535694" w:rsidP="00535694">
      <w:pPr>
        <w:jc w:val="center"/>
        <w:rPr>
          <w:i/>
          <w:lang w:eastAsia="ar-SA"/>
        </w:rPr>
      </w:pPr>
    </w:p>
    <w:p w:rsidR="00535694" w:rsidRDefault="00535694" w:rsidP="00535694">
      <w:pPr>
        <w:pStyle w:val="Liste"/>
        <w:suppressAutoHyphens w:val="0"/>
        <w:overflowPunct/>
        <w:jc w:val="left"/>
      </w:pPr>
      <w:r>
        <w:rPr>
          <w:b/>
          <w:bCs/>
          <w:u w:val="single"/>
        </w:rPr>
        <w:t>Taux d’imposition des taxes locales pour 2024</w:t>
      </w:r>
      <w:r>
        <w:t> :</w:t>
      </w:r>
    </w:p>
    <w:p w:rsidR="00535694" w:rsidRDefault="00535694" w:rsidP="00535694">
      <w:pPr>
        <w:pStyle w:val="Liste"/>
        <w:suppressAutoHyphens w:val="0"/>
        <w:overflowPunct/>
        <w:jc w:val="left"/>
      </w:pPr>
    </w:p>
    <w:p w:rsidR="00535694" w:rsidRDefault="00535694" w:rsidP="00535694">
      <w:pPr>
        <w:pStyle w:val="Liste"/>
        <w:suppressAutoHyphens w:val="0"/>
        <w:overflowPunct/>
        <w:jc w:val="left"/>
      </w:pPr>
      <w:r>
        <w:rPr>
          <w:b/>
          <w:bCs/>
        </w:rPr>
        <w:t>Les taux 2024 sont identiques à ceux de 2023</w:t>
      </w:r>
      <w:r>
        <w:t xml:space="preserve"> et s’établissent comme suit :</w:t>
      </w:r>
    </w:p>
    <w:p w:rsidR="00535694" w:rsidRDefault="00535694" w:rsidP="00535694">
      <w:pPr>
        <w:pStyle w:val="Liste"/>
        <w:suppressAutoHyphens w:val="0"/>
        <w:overflowPunct/>
        <w:jc w:val="left"/>
      </w:pPr>
      <w:r>
        <w:t>Taxe d’habitation pour résidences secondaires : 16,11 % ;  Taxe foncière (bâti) : 43,89 % ; Taxe foncière (non bâti) : 64,38 % ; CFE (Cotisation Foncière des Entreprises) : 21,57 %</w:t>
      </w:r>
    </w:p>
    <w:p w:rsidR="007C096E" w:rsidRDefault="007C096E" w:rsidP="007C096E">
      <w:pPr>
        <w:rPr>
          <w:sz w:val="20"/>
          <w:szCs w:val="20"/>
        </w:rPr>
      </w:pPr>
    </w:p>
    <w:p w:rsidR="007C096E" w:rsidRDefault="007C096E" w:rsidP="007C096E">
      <w:pPr>
        <w:jc w:val="both"/>
        <w:rPr>
          <w:b/>
          <w:bCs/>
          <w:u w:val="single"/>
        </w:rPr>
      </w:pPr>
      <w:r>
        <w:rPr>
          <w:b/>
          <w:bCs/>
          <w:u w:val="single"/>
        </w:rPr>
        <w:t>Budget 2024 :</w:t>
      </w:r>
    </w:p>
    <w:p w:rsidR="007C096E" w:rsidRDefault="007C096E" w:rsidP="007C096E">
      <w:pPr>
        <w:jc w:val="both"/>
        <w:rPr>
          <w:b/>
          <w:bCs/>
          <w:sz w:val="20"/>
          <w:szCs w:val="20"/>
          <w:u w:val="single"/>
        </w:rPr>
      </w:pPr>
    </w:p>
    <w:p w:rsidR="007C096E" w:rsidRDefault="007C096E" w:rsidP="007C096E">
      <w:pPr>
        <w:jc w:val="center"/>
        <w:rPr>
          <w:b/>
          <w:bCs/>
          <w:i/>
          <w:iCs/>
          <w:sz w:val="20"/>
          <w:szCs w:val="20"/>
        </w:rPr>
      </w:pPr>
      <w:r>
        <w:rPr>
          <w:b/>
          <w:bCs/>
          <w:i/>
          <w:iCs/>
        </w:rPr>
        <w:t>Le budget 2024 a été voté à l’unanimité le lundi 11 mars 2024 pour un total de  €.</w:t>
      </w:r>
    </w:p>
    <w:p w:rsidR="007C096E" w:rsidRPr="00D969CD" w:rsidRDefault="007C096E" w:rsidP="007C096E">
      <w:pPr>
        <w:jc w:val="center"/>
        <w:rPr>
          <w:b/>
          <w:bCs/>
          <w:szCs w:val="20"/>
          <w:u w:val="single"/>
        </w:rPr>
      </w:pPr>
      <w:r w:rsidRPr="00D969CD">
        <w:rPr>
          <w:b/>
          <w:bCs/>
          <w:szCs w:val="20"/>
          <w:u w:val="single"/>
        </w:rPr>
        <w:t>Section Fonctionnement</w:t>
      </w:r>
    </w:p>
    <w:tbl>
      <w:tblPr>
        <w:tblW w:w="9405" w:type="dxa"/>
        <w:jc w:val="center"/>
        <w:tblInd w:w="-1809" w:type="dxa"/>
        <w:tblLayout w:type="fixed"/>
        <w:tblLook w:val="00A0"/>
      </w:tblPr>
      <w:tblGrid>
        <w:gridCol w:w="3086"/>
        <w:gridCol w:w="1522"/>
        <w:gridCol w:w="3333"/>
        <w:gridCol w:w="1464"/>
      </w:tblGrid>
      <w:tr w:rsidR="007C096E" w:rsidRPr="00D969CD" w:rsidTr="00D94CBD">
        <w:trPr>
          <w:cantSplit/>
          <w:trHeight w:val="699"/>
          <w:jc w:val="center"/>
        </w:trPr>
        <w:tc>
          <w:tcPr>
            <w:tcW w:w="4608" w:type="dxa"/>
            <w:gridSpan w:val="2"/>
            <w:tcBorders>
              <w:top w:val="single" w:sz="2" w:space="0" w:color="000000"/>
              <w:left w:val="single" w:sz="2" w:space="0" w:color="000000"/>
              <w:bottom w:val="single" w:sz="2" w:space="0" w:color="000000"/>
              <w:right w:val="nil"/>
            </w:tcBorders>
          </w:tcPr>
          <w:p w:rsidR="007C096E" w:rsidRDefault="007C096E" w:rsidP="00C97EAB">
            <w:pPr>
              <w:tabs>
                <w:tab w:val="left" w:pos="6946"/>
                <w:tab w:val="left" w:pos="8931"/>
              </w:tabs>
              <w:ind w:left="-612"/>
              <w:jc w:val="center"/>
            </w:pPr>
          </w:p>
          <w:p w:rsidR="007C096E" w:rsidRPr="00D969CD" w:rsidRDefault="007C096E" w:rsidP="00772F8F">
            <w:pPr>
              <w:tabs>
                <w:tab w:val="left" w:pos="6946"/>
                <w:tab w:val="left" w:pos="8931"/>
              </w:tabs>
              <w:jc w:val="center"/>
            </w:pPr>
            <w:r w:rsidRPr="00D969CD">
              <w:t xml:space="preserve">DEPENSES </w:t>
            </w:r>
            <w:r>
              <w:t xml:space="preserve">                            </w:t>
            </w:r>
            <w:r w:rsidRPr="00D969CD">
              <w:rPr>
                <w:b/>
              </w:rPr>
              <w:t>6</w:t>
            </w:r>
            <w:r w:rsidR="00772F8F">
              <w:rPr>
                <w:b/>
              </w:rPr>
              <w:t>08</w:t>
            </w:r>
            <w:r w:rsidRPr="00D969CD">
              <w:rPr>
                <w:b/>
              </w:rPr>
              <w:t> </w:t>
            </w:r>
            <w:r w:rsidR="00772F8F">
              <w:rPr>
                <w:b/>
              </w:rPr>
              <w:t>702</w:t>
            </w:r>
            <w:r w:rsidRPr="00D969CD">
              <w:rPr>
                <w:b/>
              </w:rPr>
              <w:t>,</w:t>
            </w:r>
            <w:r w:rsidR="00772F8F">
              <w:rPr>
                <w:b/>
              </w:rPr>
              <w:t>69</w:t>
            </w:r>
            <w:r w:rsidRPr="00D969CD">
              <w:rPr>
                <w:b/>
              </w:rPr>
              <w:t xml:space="preserve"> €</w:t>
            </w:r>
          </w:p>
        </w:tc>
        <w:tc>
          <w:tcPr>
            <w:tcW w:w="4797" w:type="dxa"/>
            <w:gridSpan w:val="2"/>
            <w:tcBorders>
              <w:top w:val="single" w:sz="2" w:space="0" w:color="000000"/>
              <w:left w:val="single" w:sz="2" w:space="0" w:color="000000"/>
              <w:bottom w:val="single" w:sz="2" w:space="0" w:color="000000"/>
              <w:right w:val="single" w:sz="2" w:space="0" w:color="000000"/>
            </w:tcBorders>
          </w:tcPr>
          <w:p w:rsidR="007C096E" w:rsidRPr="00D969CD" w:rsidRDefault="007C096E" w:rsidP="00C97EAB">
            <w:pPr>
              <w:tabs>
                <w:tab w:val="left" w:pos="6946"/>
                <w:tab w:val="left" w:pos="8931"/>
              </w:tabs>
              <w:snapToGrid w:val="0"/>
              <w:jc w:val="center"/>
            </w:pPr>
          </w:p>
          <w:p w:rsidR="007C096E" w:rsidRPr="00D969CD" w:rsidRDefault="007C096E" w:rsidP="00772F8F">
            <w:pPr>
              <w:tabs>
                <w:tab w:val="left" w:pos="6946"/>
                <w:tab w:val="left" w:pos="8931"/>
              </w:tabs>
              <w:jc w:val="center"/>
              <w:rPr>
                <w:b/>
                <w:bCs/>
              </w:rPr>
            </w:pPr>
            <w:r w:rsidRPr="00D969CD">
              <w:t>RECETTES</w:t>
            </w:r>
            <w:r>
              <w:t xml:space="preserve">                                 </w:t>
            </w:r>
            <w:r w:rsidRPr="00D969CD">
              <w:rPr>
                <w:b/>
                <w:bCs/>
              </w:rPr>
              <w:t>6</w:t>
            </w:r>
            <w:r w:rsidR="00772F8F">
              <w:rPr>
                <w:b/>
                <w:bCs/>
              </w:rPr>
              <w:t>08</w:t>
            </w:r>
            <w:r w:rsidRPr="00D969CD">
              <w:rPr>
                <w:b/>
                <w:bCs/>
              </w:rPr>
              <w:t> </w:t>
            </w:r>
            <w:r w:rsidR="00772F8F">
              <w:rPr>
                <w:b/>
                <w:bCs/>
              </w:rPr>
              <w:t>702</w:t>
            </w:r>
            <w:r w:rsidRPr="00D969CD">
              <w:rPr>
                <w:b/>
                <w:bCs/>
              </w:rPr>
              <w:t>,</w:t>
            </w:r>
            <w:r w:rsidR="00772F8F">
              <w:rPr>
                <w:b/>
                <w:bCs/>
              </w:rPr>
              <w:t>69</w:t>
            </w:r>
            <w:r w:rsidRPr="00D969CD">
              <w:rPr>
                <w:b/>
                <w:bCs/>
              </w:rPr>
              <w:t xml:space="preserve"> €</w:t>
            </w:r>
          </w:p>
        </w:tc>
      </w:tr>
      <w:tr w:rsidR="007C096E" w:rsidRPr="00D969CD" w:rsidTr="00D94CBD">
        <w:trPr>
          <w:cantSplit/>
          <w:trHeight w:val="330"/>
          <w:jc w:val="center"/>
        </w:trPr>
        <w:tc>
          <w:tcPr>
            <w:tcW w:w="3086"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ind w:left="-366" w:firstLine="83"/>
              <w:jc w:val="center"/>
            </w:pPr>
            <w:r>
              <w:t xml:space="preserve">   </w:t>
            </w:r>
            <w:r w:rsidRPr="00D969CD">
              <w:t>Charges à caractère général</w:t>
            </w:r>
          </w:p>
        </w:tc>
        <w:tc>
          <w:tcPr>
            <w:tcW w:w="1522" w:type="dxa"/>
            <w:tcBorders>
              <w:top w:val="nil"/>
              <w:left w:val="single" w:sz="2" w:space="0" w:color="000000"/>
              <w:bottom w:val="single" w:sz="2" w:space="0" w:color="000000"/>
              <w:right w:val="nil"/>
            </w:tcBorders>
          </w:tcPr>
          <w:p w:rsidR="007C096E" w:rsidRPr="00D969CD" w:rsidRDefault="007C096E" w:rsidP="00772F8F">
            <w:pPr>
              <w:tabs>
                <w:tab w:val="left" w:pos="6946"/>
                <w:tab w:val="left" w:pos="8931"/>
              </w:tabs>
              <w:snapToGrid w:val="0"/>
              <w:jc w:val="center"/>
            </w:pPr>
            <w:r w:rsidRPr="00D969CD">
              <w:t>1</w:t>
            </w:r>
            <w:r w:rsidR="00772F8F">
              <w:t>22 855</w:t>
            </w:r>
            <w:r w:rsidRPr="00D969CD">
              <w:t>,</w:t>
            </w:r>
            <w:r w:rsidR="00772F8F">
              <w:t>62</w:t>
            </w:r>
          </w:p>
        </w:tc>
        <w:tc>
          <w:tcPr>
            <w:tcW w:w="3333"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Produits Service</w:t>
            </w:r>
          </w:p>
        </w:tc>
        <w:tc>
          <w:tcPr>
            <w:tcW w:w="1464" w:type="dxa"/>
            <w:tcBorders>
              <w:top w:val="nil"/>
              <w:left w:val="single" w:sz="2" w:space="0" w:color="000000"/>
              <w:bottom w:val="single" w:sz="2" w:space="0" w:color="000000"/>
              <w:right w:val="single" w:sz="2" w:space="0" w:color="000000"/>
            </w:tcBorders>
          </w:tcPr>
          <w:p w:rsidR="007C096E" w:rsidRPr="00D969CD" w:rsidRDefault="007C096E" w:rsidP="00772F8F">
            <w:pPr>
              <w:tabs>
                <w:tab w:val="left" w:pos="6946"/>
                <w:tab w:val="left" w:pos="8931"/>
              </w:tabs>
              <w:snapToGrid w:val="0"/>
              <w:jc w:val="center"/>
            </w:pPr>
            <w:r w:rsidRPr="00D969CD">
              <w:t>3</w:t>
            </w:r>
            <w:r w:rsidR="00772F8F">
              <w:t>3</w:t>
            </w:r>
            <w:r w:rsidRPr="00D969CD">
              <w:t xml:space="preserve"> </w:t>
            </w:r>
            <w:r w:rsidR="00772F8F">
              <w:t>675</w:t>
            </w:r>
            <w:r w:rsidRPr="00D969CD">
              <w:t>,00</w:t>
            </w:r>
          </w:p>
        </w:tc>
      </w:tr>
      <w:tr w:rsidR="007C096E" w:rsidRPr="00D969CD" w:rsidTr="00D94CBD">
        <w:trPr>
          <w:cantSplit/>
          <w:jc w:val="center"/>
        </w:trPr>
        <w:tc>
          <w:tcPr>
            <w:tcW w:w="3086"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Charges de personnel</w:t>
            </w:r>
          </w:p>
        </w:tc>
        <w:tc>
          <w:tcPr>
            <w:tcW w:w="1522" w:type="dxa"/>
            <w:tcBorders>
              <w:top w:val="nil"/>
              <w:left w:val="single" w:sz="2" w:space="0" w:color="000000"/>
              <w:bottom w:val="single" w:sz="2" w:space="0" w:color="000000"/>
              <w:right w:val="nil"/>
            </w:tcBorders>
          </w:tcPr>
          <w:p w:rsidR="007C096E" w:rsidRPr="00D969CD" w:rsidRDefault="007C096E" w:rsidP="00772F8F">
            <w:pPr>
              <w:tabs>
                <w:tab w:val="left" w:pos="6946"/>
                <w:tab w:val="left" w:pos="8931"/>
              </w:tabs>
              <w:snapToGrid w:val="0"/>
              <w:jc w:val="center"/>
            </w:pPr>
            <w:r w:rsidRPr="00D969CD">
              <w:t>1</w:t>
            </w:r>
            <w:r w:rsidR="00772F8F">
              <w:t>94</w:t>
            </w:r>
            <w:r w:rsidRPr="00D969CD">
              <w:t> </w:t>
            </w:r>
            <w:r w:rsidR="00772F8F">
              <w:t>6</w:t>
            </w:r>
            <w:r w:rsidRPr="00D969CD">
              <w:t>00,00</w:t>
            </w:r>
          </w:p>
        </w:tc>
        <w:tc>
          <w:tcPr>
            <w:tcW w:w="3333"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Impôts et Taxes</w:t>
            </w:r>
          </w:p>
        </w:tc>
        <w:tc>
          <w:tcPr>
            <w:tcW w:w="1464" w:type="dxa"/>
            <w:tcBorders>
              <w:top w:val="nil"/>
              <w:left w:val="single" w:sz="2" w:space="0" w:color="000000"/>
              <w:bottom w:val="single" w:sz="2" w:space="0" w:color="000000"/>
              <w:right w:val="single" w:sz="2" w:space="0" w:color="000000"/>
            </w:tcBorders>
          </w:tcPr>
          <w:p w:rsidR="007C096E" w:rsidRPr="00D969CD" w:rsidRDefault="00772F8F" w:rsidP="00772F8F">
            <w:pPr>
              <w:tabs>
                <w:tab w:val="left" w:pos="6946"/>
                <w:tab w:val="left" w:pos="8931"/>
              </w:tabs>
              <w:snapToGrid w:val="0"/>
              <w:jc w:val="center"/>
            </w:pPr>
            <w:r>
              <w:t>82</w:t>
            </w:r>
            <w:r w:rsidR="007C096E" w:rsidRPr="00D969CD">
              <w:t xml:space="preserve"> </w:t>
            </w:r>
            <w:r>
              <w:t>003</w:t>
            </w:r>
            <w:r w:rsidR="007C096E" w:rsidRPr="00D969CD">
              <w:t>,00</w:t>
            </w:r>
          </w:p>
        </w:tc>
      </w:tr>
      <w:tr w:rsidR="007C096E" w:rsidRPr="00D969CD" w:rsidTr="00D94CBD">
        <w:trPr>
          <w:cantSplit/>
          <w:jc w:val="center"/>
        </w:trPr>
        <w:tc>
          <w:tcPr>
            <w:tcW w:w="3086"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Autres charges</w:t>
            </w:r>
          </w:p>
        </w:tc>
        <w:tc>
          <w:tcPr>
            <w:tcW w:w="1522" w:type="dxa"/>
            <w:tcBorders>
              <w:top w:val="nil"/>
              <w:left w:val="single" w:sz="2" w:space="0" w:color="000000"/>
              <w:bottom w:val="single" w:sz="2" w:space="0" w:color="000000"/>
              <w:right w:val="nil"/>
            </w:tcBorders>
          </w:tcPr>
          <w:p w:rsidR="007C096E" w:rsidRPr="00D969CD" w:rsidRDefault="007C096E" w:rsidP="00772F8F">
            <w:pPr>
              <w:tabs>
                <w:tab w:val="left" w:pos="6946"/>
                <w:tab w:val="left" w:pos="8931"/>
              </w:tabs>
              <w:snapToGrid w:val="0"/>
              <w:jc w:val="center"/>
            </w:pPr>
            <w:r w:rsidRPr="00D969CD">
              <w:t xml:space="preserve">  </w:t>
            </w:r>
            <w:r w:rsidR="00772F8F">
              <w:t>88</w:t>
            </w:r>
            <w:r w:rsidRPr="00D969CD">
              <w:t xml:space="preserve"> 81</w:t>
            </w:r>
            <w:r w:rsidR="00772F8F">
              <w:t>2</w:t>
            </w:r>
            <w:r w:rsidRPr="00D969CD">
              <w:t>,00</w:t>
            </w:r>
          </w:p>
        </w:tc>
        <w:tc>
          <w:tcPr>
            <w:tcW w:w="3333"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Dotation</w:t>
            </w:r>
          </w:p>
        </w:tc>
        <w:tc>
          <w:tcPr>
            <w:tcW w:w="1464" w:type="dxa"/>
            <w:tcBorders>
              <w:top w:val="nil"/>
              <w:left w:val="single" w:sz="2" w:space="0" w:color="000000"/>
              <w:bottom w:val="single" w:sz="2" w:space="0" w:color="000000"/>
              <w:right w:val="single" w:sz="2" w:space="0" w:color="000000"/>
            </w:tcBorders>
          </w:tcPr>
          <w:p w:rsidR="007C096E" w:rsidRPr="00D969CD" w:rsidRDefault="007C096E" w:rsidP="00772F8F">
            <w:pPr>
              <w:tabs>
                <w:tab w:val="left" w:pos="6946"/>
                <w:tab w:val="left" w:pos="8931"/>
              </w:tabs>
              <w:snapToGrid w:val="0"/>
              <w:jc w:val="center"/>
            </w:pPr>
            <w:r w:rsidRPr="00D969CD">
              <w:t>1</w:t>
            </w:r>
            <w:r w:rsidR="00772F8F">
              <w:t>10</w:t>
            </w:r>
            <w:r w:rsidRPr="00D969CD">
              <w:t> </w:t>
            </w:r>
            <w:r w:rsidR="00772F8F">
              <w:t>064</w:t>
            </w:r>
            <w:r w:rsidRPr="00D969CD">
              <w:t>,00</w:t>
            </w:r>
          </w:p>
        </w:tc>
      </w:tr>
      <w:tr w:rsidR="007C096E" w:rsidRPr="00D969CD" w:rsidTr="00D94CBD">
        <w:trPr>
          <w:cantSplit/>
          <w:jc w:val="center"/>
        </w:trPr>
        <w:tc>
          <w:tcPr>
            <w:tcW w:w="3086"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Charges financières</w:t>
            </w:r>
          </w:p>
        </w:tc>
        <w:tc>
          <w:tcPr>
            <w:tcW w:w="1522" w:type="dxa"/>
            <w:tcBorders>
              <w:top w:val="nil"/>
              <w:left w:val="single" w:sz="2" w:space="0" w:color="000000"/>
              <w:bottom w:val="single" w:sz="2" w:space="0" w:color="000000"/>
              <w:right w:val="nil"/>
            </w:tcBorders>
          </w:tcPr>
          <w:p w:rsidR="007C096E" w:rsidRPr="00D969CD" w:rsidRDefault="007C096E" w:rsidP="00772F8F">
            <w:pPr>
              <w:tabs>
                <w:tab w:val="left" w:pos="6946"/>
                <w:tab w:val="left" w:pos="8931"/>
              </w:tabs>
              <w:snapToGrid w:val="0"/>
              <w:jc w:val="center"/>
            </w:pPr>
            <w:r w:rsidRPr="00D969CD">
              <w:t xml:space="preserve">    </w:t>
            </w:r>
            <w:r w:rsidR="00772F8F">
              <w:t>8 287</w:t>
            </w:r>
            <w:r w:rsidRPr="00D969CD">
              <w:t>,00</w:t>
            </w:r>
          </w:p>
        </w:tc>
        <w:tc>
          <w:tcPr>
            <w:tcW w:w="3333"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Produit gestion Courante</w:t>
            </w:r>
          </w:p>
        </w:tc>
        <w:tc>
          <w:tcPr>
            <w:tcW w:w="1464" w:type="dxa"/>
            <w:tcBorders>
              <w:top w:val="nil"/>
              <w:left w:val="single" w:sz="2" w:space="0" w:color="000000"/>
              <w:bottom w:val="single" w:sz="2" w:space="0" w:color="000000"/>
              <w:right w:val="single" w:sz="2" w:space="0" w:color="000000"/>
            </w:tcBorders>
          </w:tcPr>
          <w:p w:rsidR="007C096E" w:rsidRPr="00D969CD" w:rsidRDefault="007C096E" w:rsidP="00C97EAB">
            <w:pPr>
              <w:tabs>
                <w:tab w:val="left" w:pos="6946"/>
                <w:tab w:val="left" w:pos="8931"/>
              </w:tabs>
              <w:snapToGrid w:val="0"/>
              <w:jc w:val="center"/>
            </w:pPr>
            <w:r w:rsidRPr="00D969CD">
              <w:t xml:space="preserve">  28 000,00</w:t>
            </w:r>
          </w:p>
        </w:tc>
      </w:tr>
      <w:tr w:rsidR="007C096E" w:rsidRPr="00D969CD" w:rsidTr="00D94CBD">
        <w:trPr>
          <w:cantSplit/>
          <w:jc w:val="center"/>
        </w:trPr>
        <w:tc>
          <w:tcPr>
            <w:tcW w:w="3086" w:type="dxa"/>
            <w:tcBorders>
              <w:top w:val="nil"/>
              <w:left w:val="single" w:sz="2" w:space="0" w:color="000000"/>
              <w:bottom w:val="single" w:sz="4" w:space="0" w:color="auto"/>
              <w:right w:val="nil"/>
            </w:tcBorders>
          </w:tcPr>
          <w:p w:rsidR="007C096E" w:rsidRPr="00D969CD" w:rsidRDefault="007C096E" w:rsidP="00C97EAB">
            <w:pPr>
              <w:tabs>
                <w:tab w:val="left" w:pos="6946"/>
                <w:tab w:val="left" w:pos="8931"/>
              </w:tabs>
              <w:snapToGrid w:val="0"/>
              <w:jc w:val="center"/>
            </w:pPr>
          </w:p>
        </w:tc>
        <w:tc>
          <w:tcPr>
            <w:tcW w:w="1522" w:type="dxa"/>
            <w:tcBorders>
              <w:top w:val="nil"/>
              <w:left w:val="single" w:sz="2" w:space="0" w:color="000000"/>
              <w:bottom w:val="single" w:sz="4" w:space="0" w:color="auto"/>
              <w:right w:val="nil"/>
            </w:tcBorders>
          </w:tcPr>
          <w:p w:rsidR="007C096E" w:rsidRPr="00D969CD" w:rsidRDefault="007C096E" w:rsidP="00772F8F">
            <w:pPr>
              <w:tabs>
                <w:tab w:val="left" w:pos="6946"/>
                <w:tab w:val="left" w:pos="8931"/>
              </w:tabs>
              <w:snapToGrid w:val="0"/>
              <w:jc w:val="center"/>
            </w:pPr>
            <w:r w:rsidRPr="00D969CD">
              <w:t xml:space="preserve">    </w:t>
            </w:r>
          </w:p>
        </w:tc>
        <w:tc>
          <w:tcPr>
            <w:tcW w:w="3333" w:type="dxa"/>
            <w:tcBorders>
              <w:top w:val="nil"/>
              <w:left w:val="single" w:sz="2" w:space="0" w:color="000000"/>
              <w:bottom w:val="single" w:sz="4" w:space="0" w:color="auto"/>
              <w:right w:val="nil"/>
            </w:tcBorders>
          </w:tcPr>
          <w:p w:rsidR="007C096E" w:rsidRPr="00D969CD" w:rsidRDefault="007C096E" w:rsidP="00C97EAB">
            <w:pPr>
              <w:tabs>
                <w:tab w:val="left" w:pos="6946"/>
                <w:tab w:val="left" w:pos="8931"/>
              </w:tabs>
              <w:snapToGrid w:val="0"/>
              <w:jc w:val="center"/>
            </w:pPr>
            <w:r w:rsidRPr="00D969CD">
              <w:t>Produits exceptionnels</w:t>
            </w:r>
          </w:p>
        </w:tc>
        <w:tc>
          <w:tcPr>
            <w:tcW w:w="1464" w:type="dxa"/>
            <w:tcBorders>
              <w:top w:val="nil"/>
              <w:left w:val="single" w:sz="2" w:space="0" w:color="000000"/>
              <w:bottom w:val="single" w:sz="4" w:space="0" w:color="auto"/>
              <w:right w:val="single" w:sz="2" w:space="0" w:color="000000"/>
            </w:tcBorders>
          </w:tcPr>
          <w:p w:rsidR="007C096E" w:rsidRPr="00D969CD" w:rsidRDefault="007C096E" w:rsidP="00C97EAB">
            <w:pPr>
              <w:tabs>
                <w:tab w:val="left" w:pos="6946"/>
                <w:tab w:val="left" w:pos="8931"/>
              </w:tabs>
              <w:snapToGrid w:val="0"/>
              <w:jc w:val="center"/>
            </w:pPr>
            <w:r w:rsidRPr="00D969CD">
              <w:t xml:space="preserve">    8 200,00</w:t>
            </w:r>
          </w:p>
        </w:tc>
      </w:tr>
      <w:tr w:rsidR="007C096E" w:rsidRPr="00D969CD" w:rsidTr="00D94CBD">
        <w:trPr>
          <w:cantSplit/>
          <w:jc w:val="center"/>
        </w:trPr>
        <w:tc>
          <w:tcPr>
            <w:tcW w:w="3086" w:type="dxa"/>
            <w:tcBorders>
              <w:top w:val="single" w:sz="4" w:space="0" w:color="auto"/>
              <w:left w:val="single" w:sz="4" w:space="0" w:color="auto"/>
              <w:bottom w:val="single" w:sz="4" w:space="0" w:color="auto"/>
              <w:right w:val="single" w:sz="2" w:space="0" w:color="000000"/>
            </w:tcBorders>
            <w:shd w:val="clear" w:color="auto" w:fill="FFFFFF"/>
          </w:tcPr>
          <w:p w:rsidR="007C096E" w:rsidRPr="00D969CD" w:rsidRDefault="007C096E" w:rsidP="00C97EAB">
            <w:pPr>
              <w:tabs>
                <w:tab w:val="left" w:pos="6946"/>
                <w:tab w:val="left" w:pos="8931"/>
              </w:tabs>
              <w:snapToGrid w:val="0"/>
              <w:jc w:val="center"/>
            </w:pPr>
            <w:r w:rsidRPr="00D969CD">
              <w:t>Transferts entre section</w:t>
            </w:r>
          </w:p>
        </w:tc>
        <w:tc>
          <w:tcPr>
            <w:tcW w:w="1522" w:type="dxa"/>
            <w:tcBorders>
              <w:top w:val="single" w:sz="4" w:space="0" w:color="auto"/>
              <w:left w:val="single" w:sz="2" w:space="0" w:color="000000"/>
              <w:bottom w:val="single" w:sz="4" w:space="0" w:color="auto"/>
              <w:right w:val="single" w:sz="2" w:space="0" w:color="000000"/>
            </w:tcBorders>
            <w:shd w:val="clear" w:color="auto" w:fill="FFFFFF"/>
          </w:tcPr>
          <w:p w:rsidR="007C096E" w:rsidRPr="00D969CD" w:rsidRDefault="007C096E" w:rsidP="00772F8F">
            <w:pPr>
              <w:tabs>
                <w:tab w:val="left" w:pos="6946"/>
                <w:tab w:val="left" w:pos="8931"/>
              </w:tabs>
              <w:snapToGrid w:val="0"/>
              <w:jc w:val="center"/>
            </w:pPr>
            <w:r>
              <w:t xml:space="preserve">    </w:t>
            </w:r>
            <w:r w:rsidR="00772F8F">
              <w:t>9 585</w:t>
            </w:r>
            <w:r w:rsidRPr="00D969CD">
              <w:t>,00</w:t>
            </w:r>
          </w:p>
        </w:tc>
        <w:tc>
          <w:tcPr>
            <w:tcW w:w="3333" w:type="dxa"/>
            <w:tcBorders>
              <w:top w:val="single" w:sz="4" w:space="0" w:color="auto"/>
              <w:left w:val="single" w:sz="2" w:space="0" w:color="000000"/>
              <w:bottom w:val="single" w:sz="4" w:space="0" w:color="auto"/>
              <w:right w:val="single" w:sz="2" w:space="0" w:color="000000"/>
            </w:tcBorders>
          </w:tcPr>
          <w:p w:rsidR="007C096E" w:rsidRPr="00D969CD" w:rsidRDefault="007C096E" w:rsidP="00C97EAB">
            <w:pPr>
              <w:tabs>
                <w:tab w:val="left" w:pos="6946"/>
                <w:tab w:val="left" w:pos="8931"/>
              </w:tabs>
              <w:snapToGrid w:val="0"/>
              <w:jc w:val="center"/>
            </w:pPr>
            <w:r w:rsidRPr="00D969CD">
              <w:t>Excédent 2022</w:t>
            </w:r>
          </w:p>
        </w:tc>
        <w:tc>
          <w:tcPr>
            <w:tcW w:w="1464" w:type="dxa"/>
            <w:tcBorders>
              <w:top w:val="single" w:sz="4" w:space="0" w:color="auto"/>
              <w:left w:val="single" w:sz="2" w:space="0" w:color="000000"/>
              <w:bottom w:val="single" w:sz="4" w:space="0" w:color="auto"/>
              <w:right w:val="single" w:sz="4" w:space="0" w:color="auto"/>
            </w:tcBorders>
          </w:tcPr>
          <w:p w:rsidR="007C096E" w:rsidRPr="00D969CD" w:rsidRDefault="007C096E" w:rsidP="00C97EAB">
            <w:pPr>
              <w:tabs>
                <w:tab w:val="left" w:pos="6946"/>
                <w:tab w:val="left" w:pos="8931"/>
              </w:tabs>
              <w:snapToGrid w:val="0"/>
              <w:jc w:val="center"/>
            </w:pPr>
            <w:r w:rsidRPr="00D969CD">
              <w:t xml:space="preserve">  98 509,00</w:t>
            </w:r>
          </w:p>
        </w:tc>
      </w:tr>
      <w:tr w:rsidR="007C096E" w:rsidRPr="00D969CD" w:rsidTr="00D94CBD">
        <w:trPr>
          <w:cantSplit/>
          <w:jc w:val="center"/>
        </w:trPr>
        <w:tc>
          <w:tcPr>
            <w:tcW w:w="3086" w:type="dxa"/>
            <w:tcBorders>
              <w:top w:val="single" w:sz="4" w:space="0" w:color="auto"/>
              <w:left w:val="single" w:sz="4" w:space="0" w:color="auto"/>
              <w:bottom w:val="single" w:sz="4" w:space="0" w:color="auto"/>
              <w:right w:val="single" w:sz="2" w:space="0" w:color="000000"/>
            </w:tcBorders>
            <w:shd w:val="clear" w:color="auto" w:fill="FFFFFF"/>
          </w:tcPr>
          <w:p w:rsidR="007C096E" w:rsidRPr="00D969CD" w:rsidRDefault="007C096E" w:rsidP="00C97EAB">
            <w:pPr>
              <w:tabs>
                <w:tab w:val="left" w:pos="6946"/>
                <w:tab w:val="left" w:pos="8931"/>
              </w:tabs>
              <w:snapToGrid w:val="0"/>
              <w:jc w:val="center"/>
            </w:pPr>
            <w:r w:rsidRPr="00D969CD">
              <w:t>Virement section investissement</w:t>
            </w:r>
          </w:p>
        </w:tc>
        <w:tc>
          <w:tcPr>
            <w:tcW w:w="1522" w:type="dxa"/>
            <w:tcBorders>
              <w:top w:val="single" w:sz="4" w:space="0" w:color="auto"/>
              <w:left w:val="single" w:sz="2" w:space="0" w:color="000000"/>
              <w:bottom w:val="single" w:sz="4" w:space="0" w:color="auto"/>
              <w:right w:val="single" w:sz="2" w:space="0" w:color="000000"/>
            </w:tcBorders>
            <w:shd w:val="clear" w:color="auto" w:fill="FFFFFF"/>
          </w:tcPr>
          <w:p w:rsidR="007C096E" w:rsidRPr="00D969CD" w:rsidRDefault="007C096E" w:rsidP="00772F8F">
            <w:pPr>
              <w:tabs>
                <w:tab w:val="left" w:pos="6946"/>
                <w:tab w:val="left" w:pos="8931"/>
              </w:tabs>
              <w:snapToGrid w:val="0"/>
              <w:jc w:val="center"/>
            </w:pPr>
            <w:r w:rsidRPr="00D969CD">
              <w:t xml:space="preserve"> </w:t>
            </w:r>
            <w:r w:rsidR="00772F8F">
              <w:t>184</w:t>
            </w:r>
            <w:r w:rsidRPr="00D969CD">
              <w:t xml:space="preserve"> </w:t>
            </w:r>
            <w:r w:rsidR="00772F8F">
              <w:t>563</w:t>
            </w:r>
            <w:r w:rsidRPr="00D969CD">
              <w:t>,0</w:t>
            </w:r>
            <w:r w:rsidR="00772F8F">
              <w:t>7</w:t>
            </w:r>
          </w:p>
        </w:tc>
        <w:tc>
          <w:tcPr>
            <w:tcW w:w="3333" w:type="dxa"/>
            <w:tcBorders>
              <w:top w:val="single" w:sz="4" w:space="0" w:color="auto"/>
              <w:left w:val="single" w:sz="2" w:space="0" w:color="000000"/>
              <w:bottom w:val="single" w:sz="4" w:space="0" w:color="auto"/>
              <w:right w:val="single" w:sz="2" w:space="0" w:color="000000"/>
            </w:tcBorders>
          </w:tcPr>
          <w:p w:rsidR="007C096E" w:rsidRPr="00D969CD" w:rsidRDefault="007C096E" w:rsidP="00C97EAB">
            <w:pPr>
              <w:tabs>
                <w:tab w:val="left" w:pos="6946"/>
                <w:tab w:val="left" w:pos="8931"/>
              </w:tabs>
              <w:snapToGrid w:val="0"/>
              <w:jc w:val="center"/>
            </w:pPr>
          </w:p>
        </w:tc>
        <w:tc>
          <w:tcPr>
            <w:tcW w:w="1464" w:type="dxa"/>
            <w:tcBorders>
              <w:top w:val="single" w:sz="4" w:space="0" w:color="auto"/>
              <w:left w:val="single" w:sz="2" w:space="0" w:color="000000"/>
              <w:bottom w:val="single" w:sz="4" w:space="0" w:color="auto"/>
              <w:right w:val="single" w:sz="4" w:space="0" w:color="auto"/>
            </w:tcBorders>
          </w:tcPr>
          <w:p w:rsidR="007C096E" w:rsidRPr="00D969CD" w:rsidRDefault="007C096E" w:rsidP="00C97EAB">
            <w:pPr>
              <w:tabs>
                <w:tab w:val="left" w:pos="6946"/>
                <w:tab w:val="left" w:pos="8931"/>
              </w:tabs>
              <w:snapToGrid w:val="0"/>
              <w:jc w:val="center"/>
            </w:pPr>
          </w:p>
        </w:tc>
      </w:tr>
    </w:tbl>
    <w:p w:rsidR="007C096E" w:rsidRPr="00D969CD" w:rsidRDefault="007C096E" w:rsidP="007C096E">
      <w:pPr>
        <w:jc w:val="center"/>
        <w:rPr>
          <w:b/>
          <w:bCs/>
          <w:szCs w:val="20"/>
          <w:u w:val="single"/>
        </w:rPr>
      </w:pPr>
      <w:r w:rsidRPr="00D969CD">
        <w:rPr>
          <w:b/>
          <w:bCs/>
          <w:szCs w:val="20"/>
          <w:u w:val="single"/>
        </w:rPr>
        <w:lastRenderedPageBreak/>
        <w:t>Section Investissement</w:t>
      </w:r>
    </w:p>
    <w:tbl>
      <w:tblPr>
        <w:tblW w:w="10554" w:type="dxa"/>
        <w:jc w:val="center"/>
        <w:tblLayout w:type="fixed"/>
        <w:tblLook w:val="00A0"/>
      </w:tblPr>
      <w:tblGrid>
        <w:gridCol w:w="3521"/>
        <w:gridCol w:w="1520"/>
        <w:gridCol w:w="3777"/>
        <w:gridCol w:w="1736"/>
      </w:tblGrid>
      <w:tr w:rsidR="007C096E" w:rsidTr="00D94CBD">
        <w:trPr>
          <w:cantSplit/>
          <w:jc w:val="center"/>
        </w:trPr>
        <w:tc>
          <w:tcPr>
            <w:tcW w:w="5041" w:type="dxa"/>
            <w:gridSpan w:val="2"/>
            <w:tcBorders>
              <w:top w:val="single" w:sz="2" w:space="0" w:color="000000"/>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p>
          <w:p w:rsidR="007C096E" w:rsidRPr="00D969CD" w:rsidRDefault="007C096E" w:rsidP="00C97EAB">
            <w:pPr>
              <w:tabs>
                <w:tab w:val="left" w:pos="6946"/>
                <w:tab w:val="left" w:pos="8931"/>
              </w:tabs>
              <w:jc w:val="center"/>
              <w:rPr>
                <w:b/>
                <w:bCs/>
              </w:rPr>
            </w:pPr>
            <w:r w:rsidRPr="00D969CD">
              <w:t xml:space="preserve">DEPENSES </w:t>
            </w:r>
            <w:r>
              <w:t xml:space="preserve">   </w:t>
            </w:r>
            <w:r w:rsidRPr="00D969CD">
              <w:t xml:space="preserve">               </w:t>
            </w:r>
            <w:r>
              <w:t xml:space="preserve">         </w:t>
            </w:r>
            <w:r w:rsidRPr="00D969CD">
              <w:t xml:space="preserve">          </w:t>
            </w:r>
            <w:r w:rsidRPr="00D969CD">
              <w:rPr>
                <w:b/>
                <w:bCs/>
              </w:rPr>
              <w:t>492 795,81 €</w:t>
            </w:r>
          </w:p>
        </w:tc>
        <w:tc>
          <w:tcPr>
            <w:tcW w:w="5513" w:type="dxa"/>
            <w:gridSpan w:val="2"/>
            <w:tcBorders>
              <w:top w:val="single" w:sz="2" w:space="0" w:color="000000"/>
              <w:left w:val="single" w:sz="2" w:space="0" w:color="000000"/>
              <w:bottom w:val="single" w:sz="2" w:space="0" w:color="000000"/>
              <w:right w:val="single" w:sz="2" w:space="0" w:color="000000"/>
            </w:tcBorders>
          </w:tcPr>
          <w:p w:rsidR="007C096E" w:rsidRPr="00D969CD" w:rsidRDefault="007C096E" w:rsidP="00C97EAB">
            <w:pPr>
              <w:tabs>
                <w:tab w:val="left" w:pos="6946"/>
                <w:tab w:val="left" w:pos="8931"/>
              </w:tabs>
              <w:snapToGrid w:val="0"/>
              <w:jc w:val="center"/>
            </w:pPr>
          </w:p>
          <w:p w:rsidR="007C096E" w:rsidRPr="00D969CD" w:rsidRDefault="007C096E" w:rsidP="00C97EAB">
            <w:pPr>
              <w:tabs>
                <w:tab w:val="left" w:pos="6946"/>
                <w:tab w:val="left" w:pos="8931"/>
              </w:tabs>
              <w:jc w:val="center"/>
              <w:rPr>
                <w:b/>
                <w:bCs/>
              </w:rPr>
            </w:pPr>
            <w:r w:rsidRPr="00D969CD">
              <w:t xml:space="preserve">RECETTES                              </w:t>
            </w:r>
            <w:r>
              <w:t xml:space="preserve">       </w:t>
            </w:r>
            <w:r w:rsidRPr="00D969CD">
              <w:t xml:space="preserve">     </w:t>
            </w:r>
            <w:r w:rsidRPr="00D969CD">
              <w:rPr>
                <w:b/>
                <w:bCs/>
              </w:rPr>
              <w:t>492 795,81€</w:t>
            </w:r>
          </w:p>
        </w:tc>
      </w:tr>
      <w:tr w:rsidR="007C096E" w:rsidTr="00D94CBD">
        <w:trPr>
          <w:cantSplit/>
          <w:jc w:val="center"/>
        </w:trPr>
        <w:tc>
          <w:tcPr>
            <w:tcW w:w="3521"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bookmarkStart w:id="0" w:name="_Hlk388691368"/>
            <w:r w:rsidRPr="00D969CD">
              <w:t>Dép. opérations équipement</w:t>
            </w:r>
          </w:p>
        </w:tc>
        <w:tc>
          <w:tcPr>
            <w:tcW w:w="1520" w:type="dxa"/>
            <w:tcBorders>
              <w:top w:val="nil"/>
              <w:left w:val="single" w:sz="2" w:space="0" w:color="000000"/>
              <w:bottom w:val="single" w:sz="2" w:space="0" w:color="000000"/>
              <w:right w:val="nil"/>
            </w:tcBorders>
          </w:tcPr>
          <w:p w:rsidR="007C096E" w:rsidRPr="00D969CD" w:rsidRDefault="007C096E" w:rsidP="00C97EAB">
            <w:pPr>
              <w:snapToGrid w:val="0"/>
              <w:jc w:val="center"/>
            </w:pPr>
            <w:r w:rsidRPr="00D969CD">
              <w:t>144 280,00</w:t>
            </w:r>
          </w:p>
        </w:tc>
        <w:tc>
          <w:tcPr>
            <w:tcW w:w="3777"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Dotations, fonds divers</w:t>
            </w:r>
          </w:p>
        </w:tc>
        <w:tc>
          <w:tcPr>
            <w:tcW w:w="1736" w:type="dxa"/>
            <w:tcBorders>
              <w:top w:val="nil"/>
              <w:left w:val="single" w:sz="2" w:space="0" w:color="000000"/>
              <w:bottom w:val="single" w:sz="2" w:space="0" w:color="000000"/>
              <w:right w:val="single" w:sz="2" w:space="0" w:color="000000"/>
            </w:tcBorders>
          </w:tcPr>
          <w:p w:rsidR="007C096E" w:rsidRPr="00D969CD" w:rsidRDefault="007C096E" w:rsidP="00C97EAB">
            <w:pPr>
              <w:snapToGrid w:val="0"/>
              <w:jc w:val="center"/>
            </w:pPr>
            <w:r w:rsidRPr="00D969CD">
              <w:t>116 147,01</w:t>
            </w:r>
          </w:p>
        </w:tc>
      </w:tr>
      <w:tr w:rsidR="007C096E" w:rsidTr="00D94CBD">
        <w:trPr>
          <w:cantSplit/>
          <w:jc w:val="center"/>
        </w:trPr>
        <w:tc>
          <w:tcPr>
            <w:tcW w:w="3521"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Emprunts et dettes assimilées</w:t>
            </w:r>
          </w:p>
        </w:tc>
        <w:tc>
          <w:tcPr>
            <w:tcW w:w="1520" w:type="dxa"/>
            <w:tcBorders>
              <w:top w:val="nil"/>
              <w:left w:val="single" w:sz="2" w:space="0" w:color="000000"/>
              <w:bottom w:val="single" w:sz="2" w:space="0" w:color="000000"/>
              <w:right w:val="nil"/>
            </w:tcBorders>
          </w:tcPr>
          <w:p w:rsidR="007C096E" w:rsidRPr="00D969CD" w:rsidRDefault="007C096E" w:rsidP="00C97EAB">
            <w:pPr>
              <w:snapToGrid w:val="0"/>
              <w:jc w:val="center"/>
            </w:pPr>
            <w:r w:rsidRPr="00D969CD">
              <w:t xml:space="preserve">  70 197,00 </w:t>
            </w:r>
          </w:p>
        </w:tc>
        <w:tc>
          <w:tcPr>
            <w:tcW w:w="3777"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Vir. de la sect. Fonctionnement</w:t>
            </w:r>
          </w:p>
        </w:tc>
        <w:tc>
          <w:tcPr>
            <w:tcW w:w="1736" w:type="dxa"/>
            <w:tcBorders>
              <w:top w:val="nil"/>
              <w:left w:val="single" w:sz="2" w:space="0" w:color="000000"/>
              <w:bottom w:val="single" w:sz="2" w:space="0" w:color="000000"/>
              <w:right w:val="single" w:sz="2" w:space="0" w:color="000000"/>
            </w:tcBorders>
          </w:tcPr>
          <w:p w:rsidR="007C096E" w:rsidRPr="00D969CD" w:rsidRDefault="007C096E" w:rsidP="00C97EAB">
            <w:pPr>
              <w:snapToGrid w:val="0"/>
              <w:jc w:val="center"/>
            </w:pPr>
            <w:r w:rsidRPr="00D969CD">
              <w:t>207 051,00</w:t>
            </w:r>
          </w:p>
        </w:tc>
      </w:tr>
      <w:tr w:rsidR="007C096E" w:rsidTr="00D94CBD">
        <w:trPr>
          <w:cantSplit/>
          <w:jc w:val="center"/>
        </w:trPr>
        <w:tc>
          <w:tcPr>
            <w:tcW w:w="3521"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p>
        </w:tc>
        <w:tc>
          <w:tcPr>
            <w:tcW w:w="1520" w:type="dxa"/>
            <w:tcBorders>
              <w:top w:val="nil"/>
              <w:left w:val="single" w:sz="2" w:space="0" w:color="000000"/>
              <w:bottom w:val="single" w:sz="2" w:space="0" w:color="000000"/>
              <w:right w:val="nil"/>
            </w:tcBorders>
          </w:tcPr>
          <w:p w:rsidR="007C096E" w:rsidRPr="00D969CD" w:rsidRDefault="007C096E" w:rsidP="00C97EAB">
            <w:pPr>
              <w:snapToGrid w:val="0"/>
              <w:jc w:val="center"/>
            </w:pPr>
          </w:p>
        </w:tc>
        <w:tc>
          <w:tcPr>
            <w:tcW w:w="3777"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Excédent 2022</w:t>
            </w:r>
          </w:p>
        </w:tc>
        <w:tc>
          <w:tcPr>
            <w:tcW w:w="1736" w:type="dxa"/>
            <w:tcBorders>
              <w:top w:val="nil"/>
              <w:left w:val="single" w:sz="2" w:space="0" w:color="000000"/>
              <w:bottom w:val="single" w:sz="2" w:space="0" w:color="000000"/>
              <w:right w:val="single" w:sz="2" w:space="0" w:color="000000"/>
            </w:tcBorders>
          </w:tcPr>
          <w:p w:rsidR="007C096E" w:rsidRPr="00D969CD" w:rsidRDefault="007C096E" w:rsidP="00C97EAB">
            <w:pPr>
              <w:snapToGrid w:val="0"/>
              <w:jc w:val="center"/>
            </w:pPr>
            <w:r w:rsidRPr="00D969CD">
              <w:t>71 113,80</w:t>
            </w:r>
          </w:p>
        </w:tc>
      </w:tr>
      <w:tr w:rsidR="007C096E" w:rsidTr="00D94CBD">
        <w:trPr>
          <w:cantSplit/>
          <w:jc w:val="center"/>
        </w:trPr>
        <w:tc>
          <w:tcPr>
            <w:tcW w:w="3521"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rPr>
                <w:b/>
                <w:bCs/>
              </w:rPr>
            </w:pPr>
          </w:p>
        </w:tc>
        <w:tc>
          <w:tcPr>
            <w:tcW w:w="1520"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rPr>
                <w:b/>
                <w:bCs/>
              </w:rPr>
            </w:pPr>
          </w:p>
        </w:tc>
        <w:tc>
          <w:tcPr>
            <w:tcW w:w="3777"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pPr>
            <w:r w:rsidRPr="00D969CD">
              <w:t xml:space="preserve">Transfert entre sections </w:t>
            </w:r>
          </w:p>
        </w:tc>
        <w:tc>
          <w:tcPr>
            <w:tcW w:w="1736" w:type="dxa"/>
            <w:tcBorders>
              <w:top w:val="nil"/>
              <w:left w:val="single" w:sz="2" w:space="0" w:color="000000"/>
              <w:bottom w:val="single" w:sz="2" w:space="0" w:color="000000"/>
              <w:right w:val="single" w:sz="2" w:space="0" w:color="000000"/>
            </w:tcBorders>
          </w:tcPr>
          <w:p w:rsidR="007C096E" w:rsidRPr="00D969CD" w:rsidRDefault="007C096E" w:rsidP="00C97EAB">
            <w:pPr>
              <w:snapToGrid w:val="0"/>
              <w:jc w:val="center"/>
            </w:pPr>
            <w:r w:rsidRPr="00D969CD">
              <w:t xml:space="preserve">   2 647,00</w:t>
            </w:r>
          </w:p>
        </w:tc>
      </w:tr>
      <w:tr w:rsidR="007C096E" w:rsidTr="00D94CBD">
        <w:trPr>
          <w:cantSplit/>
          <w:jc w:val="center"/>
        </w:trPr>
        <w:tc>
          <w:tcPr>
            <w:tcW w:w="3521"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rPr>
                <w:b/>
                <w:bCs/>
              </w:rPr>
            </w:pPr>
            <w:r w:rsidRPr="00D969CD">
              <w:rPr>
                <w:b/>
                <w:bCs/>
              </w:rPr>
              <w:t>Dép. engagées en 20</w:t>
            </w:r>
            <w:r>
              <w:rPr>
                <w:b/>
                <w:bCs/>
              </w:rPr>
              <w:t>22 (</w:t>
            </w:r>
            <w:r w:rsidRPr="00D969CD">
              <w:rPr>
                <w:b/>
                <w:bCs/>
              </w:rPr>
              <w:t>RAR)</w:t>
            </w:r>
          </w:p>
        </w:tc>
        <w:tc>
          <w:tcPr>
            <w:tcW w:w="1520"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rPr>
                <w:b/>
                <w:bCs/>
              </w:rPr>
            </w:pPr>
            <w:r w:rsidRPr="00D969CD">
              <w:t xml:space="preserve"> </w:t>
            </w:r>
            <w:r w:rsidRPr="00D969CD">
              <w:rPr>
                <w:b/>
                <w:bCs/>
              </w:rPr>
              <w:t>278 318,81</w:t>
            </w:r>
          </w:p>
        </w:tc>
        <w:tc>
          <w:tcPr>
            <w:tcW w:w="3777" w:type="dxa"/>
            <w:tcBorders>
              <w:top w:val="nil"/>
              <w:left w:val="single" w:sz="2" w:space="0" w:color="000000"/>
              <w:bottom w:val="single" w:sz="2" w:space="0" w:color="000000"/>
              <w:right w:val="nil"/>
            </w:tcBorders>
          </w:tcPr>
          <w:p w:rsidR="007C096E" w:rsidRPr="00D969CD" w:rsidRDefault="007C096E" w:rsidP="00C97EAB">
            <w:pPr>
              <w:tabs>
                <w:tab w:val="left" w:pos="6946"/>
                <w:tab w:val="left" w:pos="8931"/>
              </w:tabs>
              <w:snapToGrid w:val="0"/>
              <w:jc w:val="center"/>
              <w:rPr>
                <w:b/>
                <w:bCs/>
              </w:rPr>
            </w:pPr>
            <w:r w:rsidRPr="00D969CD">
              <w:rPr>
                <w:b/>
                <w:bCs/>
              </w:rPr>
              <w:t>Recettes engagées sur 2022 (R</w:t>
            </w:r>
            <w:r>
              <w:rPr>
                <w:b/>
                <w:bCs/>
              </w:rPr>
              <w:t>A</w:t>
            </w:r>
            <w:r w:rsidRPr="00D969CD">
              <w:rPr>
                <w:b/>
                <w:bCs/>
              </w:rPr>
              <w:t>R)</w:t>
            </w:r>
          </w:p>
        </w:tc>
        <w:tc>
          <w:tcPr>
            <w:tcW w:w="1736" w:type="dxa"/>
            <w:tcBorders>
              <w:top w:val="nil"/>
              <w:left w:val="single" w:sz="2" w:space="0" w:color="000000"/>
              <w:bottom w:val="single" w:sz="2" w:space="0" w:color="000000"/>
              <w:right w:val="single" w:sz="2" w:space="0" w:color="000000"/>
            </w:tcBorders>
          </w:tcPr>
          <w:p w:rsidR="007C096E" w:rsidRPr="00D94CBD" w:rsidRDefault="007C096E" w:rsidP="00C97EAB">
            <w:pPr>
              <w:snapToGrid w:val="0"/>
              <w:jc w:val="center"/>
              <w:rPr>
                <w:b/>
              </w:rPr>
            </w:pPr>
            <w:r w:rsidRPr="00D94CBD">
              <w:rPr>
                <w:b/>
              </w:rPr>
              <w:t>95 837,00</w:t>
            </w:r>
          </w:p>
        </w:tc>
      </w:tr>
    </w:tbl>
    <w:bookmarkEnd w:id="0"/>
    <w:p w:rsidR="007C096E" w:rsidRDefault="007C096E" w:rsidP="007C096E">
      <w:pPr>
        <w:jc w:val="center"/>
        <w:rPr>
          <w:i/>
          <w:iCs/>
          <w:sz w:val="22"/>
          <w:szCs w:val="22"/>
        </w:rPr>
      </w:pPr>
      <w:r>
        <w:rPr>
          <w:i/>
          <w:iCs/>
          <w:sz w:val="22"/>
          <w:szCs w:val="22"/>
        </w:rPr>
        <w:t>Nota : Le détail du budget peut-être consulté au secrétariat de mairie.</w:t>
      </w:r>
    </w:p>
    <w:p w:rsidR="007C096E" w:rsidRDefault="007C096E" w:rsidP="007C096E">
      <w:pPr>
        <w:jc w:val="center"/>
        <w:rPr>
          <w:i/>
          <w:iCs/>
          <w:sz w:val="20"/>
          <w:szCs w:val="20"/>
        </w:rPr>
      </w:pPr>
    </w:p>
    <w:p w:rsidR="007C096E" w:rsidRDefault="007C096E" w:rsidP="007C096E">
      <w:pPr>
        <w:jc w:val="both"/>
        <w:rPr>
          <w:b/>
          <w:bCs/>
          <w:u w:val="single"/>
        </w:rPr>
      </w:pPr>
      <w:r>
        <w:rPr>
          <w:b/>
          <w:bCs/>
          <w:u w:val="single"/>
        </w:rPr>
        <w:t>Subventions et participations :</w:t>
      </w:r>
    </w:p>
    <w:p w:rsidR="007C096E" w:rsidRDefault="007C096E" w:rsidP="007C096E">
      <w:pPr>
        <w:jc w:val="both"/>
        <w:rPr>
          <w:b/>
          <w:bCs/>
          <w:sz w:val="20"/>
          <w:szCs w:val="20"/>
          <w:u w:val="single"/>
        </w:rPr>
      </w:pPr>
    </w:p>
    <w:p w:rsidR="007C096E" w:rsidRDefault="007C096E" w:rsidP="007C096E">
      <w:pPr>
        <w:suppressAutoHyphens/>
        <w:jc w:val="both"/>
      </w:pPr>
      <w:r>
        <w:rPr>
          <w:u w:val="single"/>
        </w:rPr>
        <w:t>Participations</w:t>
      </w:r>
      <w:r>
        <w:t xml:space="preserve"> : SIVOS ATAV : 45 200 € - SDEG16 : 2 660 € - ATD16 : 3 508€ - Syndicat Fourrière : 500€ - Communauté de Communes pour l’instruction des Autorisations d’Urbanisme : €.</w:t>
      </w:r>
    </w:p>
    <w:p w:rsidR="007C096E" w:rsidRDefault="007C096E" w:rsidP="007C096E">
      <w:pPr>
        <w:suppressAutoHyphens/>
      </w:pPr>
      <w:r>
        <w:rPr>
          <w:u w:val="single"/>
        </w:rPr>
        <w:t xml:space="preserve">Subventions aux associations hors commune </w:t>
      </w:r>
      <w:r>
        <w:t>: ADMR 90€ – APCP 30€ - RASED 45€ – Banque alimentaire 90€ – Cercle des Jeunes de Montignac 100€ – Donneurs de sang 90€ – Association des Maires de Charente 250€ – FCOL 75€ – MNT 250€ -</w:t>
      </w:r>
      <w:r w:rsidR="00772F8F">
        <w:t xml:space="preserve"> EIDER 50€ - Arc-en-ciel 100€</w:t>
      </w:r>
      <w:r>
        <w:t>.</w:t>
      </w:r>
    </w:p>
    <w:p w:rsidR="007C096E" w:rsidRDefault="007C096E" w:rsidP="007C096E">
      <w:pPr>
        <w:suppressAutoHyphens/>
      </w:pPr>
    </w:p>
    <w:p w:rsidR="007C096E" w:rsidRDefault="007C096E" w:rsidP="007C096E">
      <w:pPr>
        <w:suppressAutoHyphens/>
        <w:jc w:val="center"/>
        <w:rPr>
          <w:b/>
          <w:bCs/>
          <w:i/>
          <w:iCs/>
        </w:rPr>
      </w:pPr>
      <w:r>
        <w:rPr>
          <w:b/>
          <w:bCs/>
          <w:i/>
          <w:iCs/>
        </w:rPr>
        <w:t>Pour les subventions aux associations locales, je demande dès à présent aux président(e)s de me transmettre une demande accompagnée des budgets et pièces nécessaires pour l'attribution d'une subventio</w:t>
      </w:r>
      <w:r w:rsidR="00772F8F">
        <w:rPr>
          <w:b/>
          <w:bCs/>
          <w:i/>
          <w:iCs/>
        </w:rPr>
        <w:t>n</w:t>
      </w:r>
      <w:r>
        <w:rPr>
          <w:b/>
          <w:bCs/>
          <w:i/>
          <w:iCs/>
        </w:rPr>
        <w:t xml:space="preserve"> avant le </w:t>
      </w:r>
      <w:r>
        <w:rPr>
          <w:b/>
          <w:bCs/>
          <w:i/>
          <w:iCs/>
          <w:u w:val="single"/>
        </w:rPr>
        <w:t>30 Juin 202</w:t>
      </w:r>
      <w:r w:rsidR="00772F8F">
        <w:rPr>
          <w:b/>
          <w:bCs/>
          <w:i/>
          <w:iCs/>
          <w:u w:val="single"/>
        </w:rPr>
        <w:t>4</w:t>
      </w:r>
      <w:r>
        <w:rPr>
          <w:b/>
          <w:bCs/>
          <w:i/>
          <w:iCs/>
        </w:rPr>
        <w:t>.</w:t>
      </w:r>
    </w:p>
    <w:p w:rsidR="0089041B" w:rsidRPr="00902777" w:rsidRDefault="0089041B" w:rsidP="00A43118">
      <w:pPr>
        <w:rPr>
          <w:b/>
          <w:bCs/>
          <w:sz w:val="10"/>
          <w:szCs w:val="22"/>
          <w:u w:val="single"/>
        </w:rPr>
      </w:pPr>
    </w:p>
    <w:p w:rsidR="007C096E" w:rsidRDefault="007C096E" w:rsidP="007C096E">
      <w:pPr>
        <w:pStyle w:val="Liste"/>
        <w:suppressAutoHyphens w:val="0"/>
        <w:overflowPunct/>
        <w:jc w:val="left"/>
        <w:rPr>
          <w:b/>
          <w:bCs/>
          <w:u w:val="single"/>
        </w:rPr>
      </w:pPr>
    </w:p>
    <w:p w:rsidR="0089041B" w:rsidRPr="008A76D2" w:rsidRDefault="008A76D2" w:rsidP="008A76D2">
      <w:pPr>
        <w:jc w:val="both"/>
        <w:rPr>
          <w:b/>
          <w:bCs/>
          <w:u w:val="single"/>
        </w:rPr>
      </w:pPr>
      <w:r w:rsidRPr="008A76D2">
        <w:rPr>
          <w:b/>
          <w:bCs/>
          <w:u w:val="single"/>
        </w:rPr>
        <w:t xml:space="preserve">Souscription </w:t>
      </w:r>
      <w:r>
        <w:rPr>
          <w:b/>
          <w:bCs/>
          <w:u w:val="single"/>
        </w:rPr>
        <w:t xml:space="preserve">pour la </w:t>
      </w:r>
      <w:r w:rsidRPr="008A76D2">
        <w:rPr>
          <w:b/>
          <w:bCs/>
          <w:u w:val="single"/>
        </w:rPr>
        <w:t>stèle du point de crash Channel Express III</w:t>
      </w:r>
    </w:p>
    <w:p w:rsidR="00535694" w:rsidRDefault="00535694" w:rsidP="0056652F">
      <w:pPr>
        <w:rPr>
          <w:sz w:val="22"/>
          <w:szCs w:val="22"/>
        </w:rPr>
      </w:pPr>
    </w:p>
    <w:p w:rsidR="00535694" w:rsidRPr="0027209F" w:rsidRDefault="00535694" w:rsidP="0056652F">
      <w:pPr>
        <w:rPr>
          <w:sz w:val="22"/>
          <w:szCs w:val="22"/>
        </w:rPr>
      </w:pPr>
    </w:p>
    <w:sectPr w:rsidR="00535694" w:rsidRPr="0027209F" w:rsidSect="0022484D">
      <w:footerReference w:type="default" r:id="rId8"/>
      <w:pgSz w:w="11906" w:h="16838"/>
      <w:pgMar w:top="539" w:right="566"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439" w:rsidRDefault="007C0439" w:rsidP="001062A6">
      <w:r>
        <w:separator/>
      </w:r>
    </w:p>
  </w:endnote>
  <w:endnote w:type="continuationSeparator" w:id="1">
    <w:p w:rsidR="007C0439" w:rsidRDefault="007C0439" w:rsidP="00106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1B" w:rsidRPr="00D15236" w:rsidRDefault="0089041B" w:rsidP="0050177C">
    <w:pPr>
      <w:pStyle w:val="Pieddepage"/>
      <w:jc w:val="center"/>
      <w:rPr>
        <w:sz w:val="20"/>
        <w:szCs w:val="20"/>
      </w:rPr>
    </w:pPr>
    <w:r w:rsidRPr="00D15236">
      <w:rPr>
        <w:sz w:val="20"/>
        <w:szCs w:val="20"/>
      </w:rPr>
      <w:t>Mairie 61, rue de la République 16560 AUSSAC-VADALLE</w:t>
    </w:r>
  </w:p>
  <w:p w:rsidR="0089041B" w:rsidRPr="00D15236" w:rsidRDefault="0089041B"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439" w:rsidRDefault="007C0439" w:rsidP="001062A6">
      <w:r>
        <w:separator/>
      </w:r>
    </w:p>
  </w:footnote>
  <w:footnote w:type="continuationSeparator" w:id="1">
    <w:p w:rsidR="007C0439" w:rsidRDefault="007C0439"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A3AE5"/>
    <w:multiLevelType w:val="hybridMultilevel"/>
    <w:tmpl w:val="F5D6BEB8"/>
    <w:lvl w:ilvl="0" w:tplc="D0780C6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93EE6"/>
    <w:rsid w:val="000078CA"/>
    <w:rsid w:val="00015E2A"/>
    <w:rsid w:val="0001765B"/>
    <w:rsid w:val="00020A51"/>
    <w:rsid w:val="00021BBD"/>
    <w:rsid w:val="00022C5F"/>
    <w:rsid w:val="00026F7B"/>
    <w:rsid w:val="00032331"/>
    <w:rsid w:val="00033EF9"/>
    <w:rsid w:val="00035891"/>
    <w:rsid w:val="000402A0"/>
    <w:rsid w:val="00082559"/>
    <w:rsid w:val="000941D4"/>
    <w:rsid w:val="000C204F"/>
    <w:rsid w:val="000C336F"/>
    <w:rsid w:val="000C3A30"/>
    <w:rsid w:val="000C4126"/>
    <w:rsid w:val="000C5F1B"/>
    <w:rsid w:val="000C65B1"/>
    <w:rsid w:val="000D0C56"/>
    <w:rsid w:val="000D7B11"/>
    <w:rsid w:val="000F0048"/>
    <w:rsid w:val="000F19C5"/>
    <w:rsid w:val="000F542D"/>
    <w:rsid w:val="00102A65"/>
    <w:rsid w:val="00106110"/>
    <w:rsid w:val="001062A6"/>
    <w:rsid w:val="001103B8"/>
    <w:rsid w:val="001123DA"/>
    <w:rsid w:val="001128D0"/>
    <w:rsid w:val="00113928"/>
    <w:rsid w:val="00116078"/>
    <w:rsid w:val="00123298"/>
    <w:rsid w:val="00124490"/>
    <w:rsid w:val="00126552"/>
    <w:rsid w:val="001277DE"/>
    <w:rsid w:val="001316E0"/>
    <w:rsid w:val="00133028"/>
    <w:rsid w:val="0013384F"/>
    <w:rsid w:val="001530AC"/>
    <w:rsid w:val="001554D6"/>
    <w:rsid w:val="00162136"/>
    <w:rsid w:val="001630A3"/>
    <w:rsid w:val="001745A7"/>
    <w:rsid w:val="001B4E94"/>
    <w:rsid w:val="001C4CFC"/>
    <w:rsid w:val="001D2177"/>
    <w:rsid w:val="001D5A44"/>
    <w:rsid w:val="001E70F0"/>
    <w:rsid w:val="001F53B5"/>
    <w:rsid w:val="00203742"/>
    <w:rsid w:val="002068D0"/>
    <w:rsid w:val="00207DBD"/>
    <w:rsid w:val="002230BB"/>
    <w:rsid w:val="0022484D"/>
    <w:rsid w:val="00226719"/>
    <w:rsid w:val="00226C5F"/>
    <w:rsid w:val="002324BE"/>
    <w:rsid w:val="002446E1"/>
    <w:rsid w:val="00253242"/>
    <w:rsid w:val="00260A9D"/>
    <w:rsid w:val="0026699B"/>
    <w:rsid w:val="0027209F"/>
    <w:rsid w:val="00274D1E"/>
    <w:rsid w:val="00274F8B"/>
    <w:rsid w:val="0027681A"/>
    <w:rsid w:val="0029227A"/>
    <w:rsid w:val="00297C6B"/>
    <w:rsid w:val="002A222A"/>
    <w:rsid w:val="002A317D"/>
    <w:rsid w:val="002B13F9"/>
    <w:rsid w:val="002F0DB4"/>
    <w:rsid w:val="002F3FF9"/>
    <w:rsid w:val="002F4AE5"/>
    <w:rsid w:val="00300EE5"/>
    <w:rsid w:val="00302F56"/>
    <w:rsid w:val="00311EDC"/>
    <w:rsid w:val="00312B14"/>
    <w:rsid w:val="00323885"/>
    <w:rsid w:val="00330939"/>
    <w:rsid w:val="00335191"/>
    <w:rsid w:val="003474EA"/>
    <w:rsid w:val="00356187"/>
    <w:rsid w:val="00356793"/>
    <w:rsid w:val="003578AF"/>
    <w:rsid w:val="00365923"/>
    <w:rsid w:val="0036697C"/>
    <w:rsid w:val="00370A41"/>
    <w:rsid w:val="0038579D"/>
    <w:rsid w:val="00393E8A"/>
    <w:rsid w:val="003B0FC6"/>
    <w:rsid w:val="003C642B"/>
    <w:rsid w:val="003F211E"/>
    <w:rsid w:val="00403C63"/>
    <w:rsid w:val="00417A2A"/>
    <w:rsid w:val="00427FB8"/>
    <w:rsid w:val="00436F93"/>
    <w:rsid w:val="004436BD"/>
    <w:rsid w:val="00445F99"/>
    <w:rsid w:val="00447FD8"/>
    <w:rsid w:val="004564B4"/>
    <w:rsid w:val="0047064A"/>
    <w:rsid w:val="004709AA"/>
    <w:rsid w:val="00471BDD"/>
    <w:rsid w:val="0047458E"/>
    <w:rsid w:val="00477829"/>
    <w:rsid w:val="0047783F"/>
    <w:rsid w:val="00491091"/>
    <w:rsid w:val="00495382"/>
    <w:rsid w:val="004962E1"/>
    <w:rsid w:val="004B0591"/>
    <w:rsid w:val="004B3B65"/>
    <w:rsid w:val="004D17A4"/>
    <w:rsid w:val="004D439D"/>
    <w:rsid w:val="004D69D8"/>
    <w:rsid w:val="004E7634"/>
    <w:rsid w:val="005002AB"/>
    <w:rsid w:val="0050177C"/>
    <w:rsid w:val="00521A21"/>
    <w:rsid w:val="00532D37"/>
    <w:rsid w:val="00535694"/>
    <w:rsid w:val="0056652F"/>
    <w:rsid w:val="00573DB9"/>
    <w:rsid w:val="00580A3E"/>
    <w:rsid w:val="005A1194"/>
    <w:rsid w:val="005B2248"/>
    <w:rsid w:val="005B57DD"/>
    <w:rsid w:val="005C14B6"/>
    <w:rsid w:val="005D0ADD"/>
    <w:rsid w:val="005E4096"/>
    <w:rsid w:val="005E4E16"/>
    <w:rsid w:val="005E6B8B"/>
    <w:rsid w:val="005F2507"/>
    <w:rsid w:val="005F4183"/>
    <w:rsid w:val="005F6E01"/>
    <w:rsid w:val="00607844"/>
    <w:rsid w:val="00616DB3"/>
    <w:rsid w:val="00654930"/>
    <w:rsid w:val="0067240F"/>
    <w:rsid w:val="00673240"/>
    <w:rsid w:val="006916EA"/>
    <w:rsid w:val="0069328E"/>
    <w:rsid w:val="006A44C0"/>
    <w:rsid w:val="006C231D"/>
    <w:rsid w:val="006D26F4"/>
    <w:rsid w:val="006E05CD"/>
    <w:rsid w:val="006E718F"/>
    <w:rsid w:val="006F120F"/>
    <w:rsid w:val="006F1D3B"/>
    <w:rsid w:val="006F1DAA"/>
    <w:rsid w:val="006F6404"/>
    <w:rsid w:val="00703B84"/>
    <w:rsid w:val="00711F25"/>
    <w:rsid w:val="00720566"/>
    <w:rsid w:val="00721295"/>
    <w:rsid w:val="00721D15"/>
    <w:rsid w:val="00750CF7"/>
    <w:rsid w:val="00757214"/>
    <w:rsid w:val="00760B5D"/>
    <w:rsid w:val="00762C0A"/>
    <w:rsid w:val="007679F6"/>
    <w:rsid w:val="007726FE"/>
    <w:rsid w:val="00772F8F"/>
    <w:rsid w:val="00780270"/>
    <w:rsid w:val="00790083"/>
    <w:rsid w:val="007908F0"/>
    <w:rsid w:val="00797415"/>
    <w:rsid w:val="007B099E"/>
    <w:rsid w:val="007B4149"/>
    <w:rsid w:val="007C0439"/>
    <w:rsid w:val="007C096E"/>
    <w:rsid w:val="007C5C7F"/>
    <w:rsid w:val="007D5CE4"/>
    <w:rsid w:val="007D6696"/>
    <w:rsid w:val="007E7206"/>
    <w:rsid w:val="007F6EA7"/>
    <w:rsid w:val="007F7487"/>
    <w:rsid w:val="007F7C0E"/>
    <w:rsid w:val="0080081E"/>
    <w:rsid w:val="00800EAC"/>
    <w:rsid w:val="00807425"/>
    <w:rsid w:val="008150E1"/>
    <w:rsid w:val="00831947"/>
    <w:rsid w:val="00835C83"/>
    <w:rsid w:val="0084490C"/>
    <w:rsid w:val="00847FFB"/>
    <w:rsid w:val="008839C0"/>
    <w:rsid w:val="0088771A"/>
    <w:rsid w:val="0089041B"/>
    <w:rsid w:val="008906F5"/>
    <w:rsid w:val="00893739"/>
    <w:rsid w:val="008A76D2"/>
    <w:rsid w:val="008B2284"/>
    <w:rsid w:val="008D4181"/>
    <w:rsid w:val="008D5D7E"/>
    <w:rsid w:val="008E7AB2"/>
    <w:rsid w:val="008F2A78"/>
    <w:rsid w:val="008F5980"/>
    <w:rsid w:val="00902777"/>
    <w:rsid w:val="00927960"/>
    <w:rsid w:val="009332D1"/>
    <w:rsid w:val="00944B31"/>
    <w:rsid w:val="009520DE"/>
    <w:rsid w:val="009536DD"/>
    <w:rsid w:val="00962452"/>
    <w:rsid w:val="0096292A"/>
    <w:rsid w:val="009677EF"/>
    <w:rsid w:val="00984404"/>
    <w:rsid w:val="009B2901"/>
    <w:rsid w:val="009C2D8D"/>
    <w:rsid w:val="009C584D"/>
    <w:rsid w:val="009D3F4A"/>
    <w:rsid w:val="009E057C"/>
    <w:rsid w:val="009F54DB"/>
    <w:rsid w:val="009F7516"/>
    <w:rsid w:val="00A00C72"/>
    <w:rsid w:val="00A10EAF"/>
    <w:rsid w:val="00A40332"/>
    <w:rsid w:val="00A41F7C"/>
    <w:rsid w:val="00A43118"/>
    <w:rsid w:val="00A50414"/>
    <w:rsid w:val="00A529EE"/>
    <w:rsid w:val="00A61C9C"/>
    <w:rsid w:val="00A762C0"/>
    <w:rsid w:val="00A82C15"/>
    <w:rsid w:val="00A835FC"/>
    <w:rsid w:val="00A8660C"/>
    <w:rsid w:val="00A92107"/>
    <w:rsid w:val="00A97A25"/>
    <w:rsid w:val="00AC192A"/>
    <w:rsid w:val="00AC4E73"/>
    <w:rsid w:val="00AC5113"/>
    <w:rsid w:val="00AD0800"/>
    <w:rsid w:val="00AD2904"/>
    <w:rsid w:val="00AD7628"/>
    <w:rsid w:val="00AE11F6"/>
    <w:rsid w:val="00AF36C3"/>
    <w:rsid w:val="00B04EE2"/>
    <w:rsid w:val="00B10932"/>
    <w:rsid w:val="00B172CD"/>
    <w:rsid w:val="00B2102F"/>
    <w:rsid w:val="00B21991"/>
    <w:rsid w:val="00B223BF"/>
    <w:rsid w:val="00B250C2"/>
    <w:rsid w:val="00B266FF"/>
    <w:rsid w:val="00B47817"/>
    <w:rsid w:val="00B6324B"/>
    <w:rsid w:val="00B718BC"/>
    <w:rsid w:val="00B833AE"/>
    <w:rsid w:val="00B86CF9"/>
    <w:rsid w:val="00B93EE6"/>
    <w:rsid w:val="00B96E71"/>
    <w:rsid w:val="00BA029B"/>
    <w:rsid w:val="00BA21D5"/>
    <w:rsid w:val="00BB22CF"/>
    <w:rsid w:val="00BC5196"/>
    <w:rsid w:val="00BC542C"/>
    <w:rsid w:val="00BC639E"/>
    <w:rsid w:val="00BC70AC"/>
    <w:rsid w:val="00BD138F"/>
    <w:rsid w:val="00BD2FB5"/>
    <w:rsid w:val="00BD6694"/>
    <w:rsid w:val="00BD7A1E"/>
    <w:rsid w:val="00BE5733"/>
    <w:rsid w:val="00BF0021"/>
    <w:rsid w:val="00BF5C10"/>
    <w:rsid w:val="00BF7D2A"/>
    <w:rsid w:val="00BF7EA4"/>
    <w:rsid w:val="00C014EC"/>
    <w:rsid w:val="00C03FA4"/>
    <w:rsid w:val="00C04717"/>
    <w:rsid w:val="00C0590F"/>
    <w:rsid w:val="00C14845"/>
    <w:rsid w:val="00C242FF"/>
    <w:rsid w:val="00C343E4"/>
    <w:rsid w:val="00C35DEB"/>
    <w:rsid w:val="00C37A55"/>
    <w:rsid w:val="00C43D1E"/>
    <w:rsid w:val="00C44918"/>
    <w:rsid w:val="00C47FD1"/>
    <w:rsid w:val="00C614BC"/>
    <w:rsid w:val="00C815EC"/>
    <w:rsid w:val="00C822CE"/>
    <w:rsid w:val="00C907F0"/>
    <w:rsid w:val="00C97987"/>
    <w:rsid w:val="00CA2436"/>
    <w:rsid w:val="00CA5511"/>
    <w:rsid w:val="00CB5BD2"/>
    <w:rsid w:val="00CC30B1"/>
    <w:rsid w:val="00CE0ABF"/>
    <w:rsid w:val="00CE1111"/>
    <w:rsid w:val="00CF0ABC"/>
    <w:rsid w:val="00D00674"/>
    <w:rsid w:val="00D04848"/>
    <w:rsid w:val="00D100F2"/>
    <w:rsid w:val="00D11D8A"/>
    <w:rsid w:val="00D123D7"/>
    <w:rsid w:val="00D15236"/>
    <w:rsid w:val="00D22ADE"/>
    <w:rsid w:val="00D27852"/>
    <w:rsid w:val="00D30B0B"/>
    <w:rsid w:val="00D31767"/>
    <w:rsid w:val="00D52B72"/>
    <w:rsid w:val="00D6097F"/>
    <w:rsid w:val="00D61151"/>
    <w:rsid w:val="00D9629F"/>
    <w:rsid w:val="00DA11A2"/>
    <w:rsid w:val="00DA3CC3"/>
    <w:rsid w:val="00DA4B05"/>
    <w:rsid w:val="00DB16FA"/>
    <w:rsid w:val="00DC0EFF"/>
    <w:rsid w:val="00DF0E5A"/>
    <w:rsid w:val="00DF1C6B"/>
    <w:rsid w:val="00DF2C43"/>
    <w:rsid w:val="00E03123"/>
    <w:rsid w:val="00E064C4"/>
    <w:rsid w:val="00E064D5"/>
    <w:rsid w:val="00E073F2"/>
    <w:rsid w:val="00E10C79"/>
    <w:rsid w:val="00E1437C"/>
    <w:rsid w:val="00E3189A"/>
    <w:rsid w:val="00E31C5A"/>
    <w:rsid w:val="00E417E4"/>
    <w:rsid w:val="00E63FF1"/>
    <w:rsid w:val="00E853C0"/>
    <w:rsid w:val="00E868A9"/>
    <w:rsid w:val="00E92134"/>
    <w:rsid w:val="00EB4A63"/>
    <w:rsid w:val="00EB6FC0"/>
    <w:rsid w:val="00EC1E2C"/>
    <w:rsid w:val="00EC21BC"/>
    <w:rsid w:val="00ED0CD6"/>
    <w:rsid w:val="00ED5BF9"/>
    <w:rsid w:val="00EF1D78"/>
    <w:rsid w:val="00EF70AF"/>
    <w:rsid w:val="00F11298"/>
    <w:rsid w:val="00F27F97"/>
    <w:rsid w:val="00F33D1C"/>
    <w:rsid w:val="00F405A4"/>
    <w:rsid w:val="00F43CCE"/>
    <w:rsid w:val="00F45C9A"/>
    <w:rsid w:val="00F47D60"/>
    <w:rsid w:val="00F500CB"/>
    <w:rsid w:val="00F5154C"/>
    <w:rsid w:val="00F5470A"/>
    <w:rsid w:val="00F55DBB"/>
    <w:rsid w:val="00F60249"/>
    <w:rsid w:val="00F67148"/>
    <w:rsid w:val="00F74D8F"/>
    <w:rsid w:val="00F83A64"/>
    <w:rsid w:val="00F83ADC"/>
    <w:rsid w:val="00F912BA"/>
    <w:rsid w:val="00F91D90"/>
    <w:rsid w:val="00FA6CE9"/>
    <w:rsid w:val="00FB4CBF"/>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paragraph" w:styleId="Textedebulles">
    <w:name w:val="Balloon Text"/>
    <w:basedOn w:val="Normal"/>
    <w:link w:val="TextedebullesCar"/>
    <w:uiPriority w:val="99"/>
    <w:semiHidden/>
    <w:rsid w:val="00C35DE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DEB"/>
    <w:rPr>
      <w:rFonts w:ascii="Tahoma" w:hAnsi="Tahoma" w:cs="Tahoma"/>
      <w:sz w:val="16"/>
      <w:szCs w:val="16"/>
    </w:rPr>
  </w:style>
  <w:style w:type="paragraph" w:styleId="Paragraphedeliste">
    <w:name w:val="List Paragraph"/>
    <w:basedOn w:val="Normal"/>
    <w:uiPriority w:val="99"/>
    <w:qFormat/>
    <w:rsid w:val="00C35DEB"/>
    <w:pPr>
      <w:ind w:left="720"/>
      <w:contextualSpacing/>
    </w:pPr>
  </w:style>
</w:styles>
</file>

<file path=word/webSettings.xml><?xml version="1.0" encoding="utf-8"?>
<w:webSettings xmlns:r="http://schemas.openxmlformats.org/officeDocument/2006/relationships" xmlns:w="http://schemas.openxmlformats.org/wordprocessingml/2006/main">
  <w:divs>
    <w:div w:id="489833031">
      <w:marLeft w:val="0"/>
      <w:marRight w:val="0"/>
      <w:marTop w:val="0"/>
      <w:marBottom w:val="0"/>
      <w:divBdr>
        <w:top w:val="none" w:sz="0" w:space="0" w:color="auto"/>
        <w:left w:val="none" w:sz="0" w:space="0" w:color="auto"/>
        <w:bottom w:val="none" w:sz="0" w:space="0" w:color="auto"/>
        <w:right w:val="none" w:sz="0" w:space="0" w:color="auto"/>
      </w:divBdr>
    </w:div>
    <w:div w:id="489833032">
      <w:marLeft w:val="0"/>
      <w:marRight w:val="0"/>
      <w:marTop w:val="0"/>
      <w:marBottom w:val="0"/>
      <w:divBdr>
        <w:top w:val="none" w:sz="0" w:space="0" w:color="auto"/>
        <w:left w:val="none" w:sz="0" w:space="0" w:color="auto"/>
        <w:bottom w:val="none" w:sz="0" w:space="0" w:color="auto"/>
        <w:right w:val="none" w:sz="0" w:space="0" w:color="auto"/>
      </w:divBdr>
    </w:div>
    <w:div w:id="489833033">
      <w:marLeft w:val="0"/>
      <w:marRight w:val="0"/>
      <w:marTop w:val="0"/>
      <w:marBottom w:val="0"/>
      <w:divBdr>
        <w:top w:val="none" w:sz="0" w:space="0" w:color="auto"/>
        <w:left w:val="none" w:sz="0" w:space="0" w:color="auto"/>
        <w:bottom w:val="none" w:sz="0" w:space="0" w:color="auto"/>
        <w:right w:val="none" w:sz="0" w:space="0" w:color="auto"/>
      </w:divBdr>
    </w:div>
    <w:div w:id="489833035">
      <w:marLeft w:val="0"/>
      <w:marRight w:val="0"/>
      <w:marTop w:val="0"/>
      <w:marBottom w:val="0"/>
      <w:divBdr>
        <w:top w:val="none" w:sz="0" w:space="0" w:color="auto"/>
        <w:left w:val="none" w:sz="0" w:space="0" w:color="auto"/>
        <w:bottom w:val="none" w:sz="0" w:space="0" w:color="auto"/>
        <w:right w:val="none" w:sz="0" w:space="0" w:color="auto"/>
      </w:divBdr>
      <w:divsChild>
        <w:div w:id="489833034">
          <w:marLeft w:val="0"/>
          <w:marRight w:val="0"/>
          <w:marTop w:val="0"/>
          <w:marBottom w:val="0"/>
          <w:divBdr>
            <w:top w:val="none" w:sz="0" w:space="0" w:color="auto"/>
            <w:left w:val="none" w:sz="0" w:space="0" w:color="auto"/>
            <w:bottom w:val="none" w:sz="0" w:space="0" w:color="auto"/>
            <w:right w:val="none" w:sz="0" w:space="0" w:color="auto"/>
          </w:divBdr>
        </w:div>
        <w:div w:id="489833036">
          <w:marLeft w:val="0"/>
          <w:marRight w:val="0"/>
          <w:marTop w:val="0"/>
          <w:marBottom w:val="0"/>
          <w:divBdr>
            <w:top w:val="none" w:sz="0" w:space="0" w:color="auto"/>
            <w:left w:val="none" w:sz="0" w:space="0" w:color="auto"/>
            <w:bottom w:val="none" w:sz="0" w:space="0" w:color="auto"/>
            <w:right w:val="none" w:sz="0" w:space="0" w:color="auto"/>
          </w:divBdr>
        </w:div>
        <w:div w:id="489833037">
          <w:marLeft w:val="0"/>
          <w:marRight w:val="0"/>
          <w:marTop w:val="0"/>
          <w:marBottom w:val="0"/>
          <w:divBdr>
            <w:top w:val="none" w:sz="0" w:space="0" w:color="auto"/>
            <w:left w:val="none" w:sz="0" w:space="0" w:color="auto"/>
            <w:bottom w:val="none" w:sz="0" w:space="0" w:color="auto"/>
            <w:right w:val="none" w:sz="0" w:space="0" w:color="auto"/>
          </w:divBdr>
        </w:div>
        <w:div w:id="489833038">
          <w:marLeft w:val="0"/>
          <w:marRight w:val="0"/>
          <w:marTop w:val="0"/>
          <w:marBottom w:val="0"/>
          <w:divBdr>
            <w:top w:val="none" w:sz="0" w:space="0" w:color="auto"/>
            <w:left w:val="none" w:sz="0" w:space="0" w:color="auto"/>
            <w:bottom w:val="none" w:sz="0" w:space="0" w:color="auto"/>
            <w:right w:val="none" w:sz="0" w:space="0" w:color="auto"/>
          </w:divBdr>
        </w:div>
      </w:divsChild>
    </w:div>
    <w:div w:id="489833039">
      <w:marLeft w:val="0"/>
      <w:marRight w:val="0"/>
      <w:marTop w:val="0"/>
      <w:marBottom w:val="0"/>
      <w:divBdr>
        <w:top w:val="none" w:sz="0" w:space="0" w:color="auto"/>
        <w:left w:val="none" w:sz="0" w:space="0" w:color="auto"/>
        <w:bottom w:val="none" w:sz="0" w:space="0" w:color="auto"/>
        <w:right w:val="none" w:sz="0" w:space="0" w:color="auto"/>
      </w:divBdr>
    </w:div>
    <w:div w:id="489833040">
      <w:marLeft w:val="0"/>
      <w:marRight w:val="0"/>
      <w:marTop w:val="0"/>
      <w:marBottom w:val="0"/>
      <w:divBdr>
        <w:top w:val="none" w:sz="0" w:space="0" w:color="auto"/>
        <w:left w:val="none" w:sz="0" w:space="0" w:color="auto"/>
        <w:bottom w:val="none" w:sz="0" w:space="0" w:color="auto"/>
        <w:right w:val="none" w:sz="0" w:space="0" w:color="auto"/>
      </w:divBdr>
    </w:div>
    <w:div w:id="489833050">
      <w:marLeft w:val="0"/>
      <w:marRight w:val="0"/>
      <w:marTop w:val="0"/>
      <w:marBottom w:val="0"/>
      <w:divBdr>
        <w:top w:val="none" w:sz="0" w:space="0" w:color="auto"/>
        <w:left w:val="none" w:sz="0" w:space="0" w:color="auto"/>
        <w:bottom w:val="none" w:sz="0" w:space="0" w:color="auto"/>
        <w:right w:val="none" w:sz="0" w:space="0" w:color="auto"/>
      </w:divBdr>
      <w:divsChild>
        <w:div w:id="489833041">
          <w:marLeft w:val="0"/>
          <w:marRight w:val="0"/>
          <w:marTop w:val="0"/>
          <w:marBottom w:val="0"/>
          <w:divBdr>
            <w:top w:val="none" w:sz="0" w:space="0" w:color="auto"/>
            <w:left w:val="none" w:sz="0" w:space="0" w:color="auto"/>
            <w:bottom w:val="none" w:sz="0" w:space="0" w:color="auto"/>
            <w:right w:val="none" w:sz="0" w:space="0" w:color="auto"/>
          </w:divBdr>
        </w:div>
        <w:div w:id="489833042">
          <w:marLeft w:val="0"/>
          <w:marRight w:val="0"/>
          <w:marTop w:val="0"/>
          <w:marBottom w:val="0"/>
          <w:divBdr>
            <w:top w:val="none" w:sz="0" w:space="0" w:color="auto"/>
            <w:left w:val="none" w:sz="0" w:space="0" w:color="auto"/>
            <w:bottom w:val="none" w:sz="0" w:space="0" w:color="auto"/>
            <w:right w:val="none" w:sz="0" w:space="0" w:color="auto"/>
          </w:divBdr>
        </w:div>
        <w:div w:id="489833043">
          <w:marLeft w:val="0"/>
          <w:marRight w:val="0"/>
          <w:marTop w:val="0"/>
          <w:marBottom w:val="0"/>
          <w:divBdr>
            <w:top w:val="none" w:sz="0" w:space="0" w:color="auto"/>
            <w:left w:val="none" w:sz="0" w:space="0" w:color="auto"/>
            <w:bottom w:val="none" w:sz="0" w:space="0" w:color="auto"/>
            <w:right w:val="none" w:sz="0" w:space="0" w:color="auto"/>
          </w:divBdr>
        </w:div>
        <w:div w:id="489833044">
          <w:marLeft w:val="0"/>
          <w:marRight w:val="0"/>
          <w:marTop w:val="0"/>
          <w:marBottom w:val="0"/>
          <w:divBdr>
            <w:top w:val="none" w:sz="0" w:space="0" w:color="auto"/>
            <w:left w:val="none" w:sz="0" w:space="0" w:color="auto"/>
            <w:bottom w:val="none" w:sz="0" w:space="0" w:color="auto"/>
            <w:right w:val="none" w:sz="0" w:space="0" w:color="auto"/>
          </w:divBdr>
        </w:div>
        <w:div w:id="489833045">
          <w:marLeft w:val="0"/>
          <w:marRight w:val="0"/>
          <w:marTop w:val="0"/>
          <w:marBottom w:val="0"/>
          <w:divBdr>
            <w:top w:val="none" w:sz="0" w:space="0" w:color="auto"/>
            <w:left w:val="none" w:sz="0" w:space="0" w:color="auto"/>
            <w:bottom w:val="none" w:sz="0" w:space="0" w:color="auto"/>
            <w:right w:val="none" w:sz="0" w:space="0" w:color="auto"/>
          </w:divBdr>
        </w:div>
        <w:div w:id="489833046">
          <w:marLeft w:val="0"/>
          <w:marRight w:val="0"/>
          <w:marTop w:val="0"/>
          <w:marBottom w:val="0"/>
          <w:divBdr>
            <w:top w:val="none" w:sz="0" w:space="0" w:color="auto"/>
            <w:left w:val="none" w:sz="0" w:space="0" w:color="auto"/>
            <w:bottom w:val="none" w:sz="0" w:space="0" w:color="auto"/>
            <w:right w:val="none" w:sz="0" w:space="0" w:color="auto"/>
          </w:divBdr>
        </w:div>
        <w:div w:id="489833047">
          <w:marLeft w:val="0"/>
          <w:marRight w:val="0"/>
          <w:marTop w:val="0"/>
          <w:marBottom w:val="0"/>
          <w:divBdr>
            <w:top w:val="none" w:sz="0" w:space="0" w:color="auto"/>
            <w:left w:val="none" w:sz="0" w:space="0" w:color="auto"/>
            <w:bottom w:val="none" w:sz="0" w:space="0" w:color="auto"/>
            <w:right w:val="none" w:sz="0" w:space="0" w:color="auto"/>
          </w:divBdr>
        </w:div>
        <w:div w:id="489833048">
          <w:marLeft w:val="0"/>
          <w:marRight w:val="0"/>
          <w:marTop w:val="0"/>
          <w:marBottom w:val="0"/>
          <w:divBdr>
            <w:top w:val="none" w:sz="0" w:space="0" w:color="auto"/>
            <w:left w:val="none" w:sz="0" w:space="0" w:color="auto"/>
            <w:bottom w:val="none" w:sz="0" w:space="0" w:color="auto"/>
            <w:right w:val="none" w:sz="0" w:space="0" w:color="auto"/>
          </w:divBdr>
        </w:div>
        <w:div w:id="489833049">
          <w:marLeft w:val="0"/>
          <w:marRight w:val="0"/>
          <w:marTop w:val="0"/>
          <w:marBottom w:val="0"/>
          <w:divBdr>
            <w:top w:val="none" w:sz="0" w:space="0" w:color="auto"/>
            <w:left w:val="none" w:sz="0" w:space="0" w:color="auto"/>
            <w:bottom w:val="none" w:sz="0" w:space="0" w:color="auto"/>
            <w:right w:val="none" w:sz="0" w:space="0" w:color="auto"/>
          </w:divBdr>
        </w:div>
        <w:div w:id="489833051">
          <w:marLeft w:val="0"/>
          <w:marRight w:val="0"/>
          <w:marTop w:val="0"/>
          <w:marBottom w:val="0"/>
          <w:divBdr>
            <w:top w:val="none" w:sz="0" w:space="0" w:color="auto"/>
            <w:left w:val="none" w:sz="0" w:space="0" w:color="auto"/>
            <w:bottom w:val="none" w:sz="0" w:space="0" w:color="auto"/>
            <w:right w:val="none" w:sz="0" w:space="0" w:color="auto"/>
          </w:divBdr>
        </w:div>
      </w:divsChild>
    </w:div>
    <w:div w:id="489833052">
      <w:marLeft w:val="0"/>
      <w:marRight w:val="0"/>
      <w:marTop w:val="0"/>
      <w:marBottom w:val="0"/>
      <w:divBdr>
        <w:top w:val="none" w:sz="0" w:space="0" w:color="auto"/>
        <w:left w:val="none" w:sz="0" w:space="0" w:color="auto"/>
        <w:bottom w:val="none" w:sz="0" w:space="0" w:color="auto"/>
        <w:right w:val="none" w:sz="0" w:space="0" w:color="auto"/>
      </w:divBdr>
    </w:div>
    <w:div w:id="489833053">
      <w:marLeft w:val="0"/>
      <w:marRight w:val="0"/>
      <w:marTop w:val="0"/>
      <w:marBottom w:val="0"/>
      <w:divBdr>
        <w:top w:val="none" w:sz="0" w:space="0" w:color="auto"/>
        <w:left w:val="none" w:sz="0" w:space="0" w:color="auto"/>
        <w:bottom w:val="none" w:sz="0" w:space="0" w:color="auto"/>
        <w:right w:val="none" w:sz="0" w:space="0" w:color="auto"/>
      </w:divBdr>
      <w:divsChild>
        <w:div w:id="489833029">
          <w:marLeft w:val="0"/>
          <w:marRight w:val="0"/>
          <w:marTop w:val="0"/>
          <w:marBottom w:val="0"/>
          <w:divBdr>
            <w:top w:val="none" w:sz="0" w:space="0" w:color="auto"/>
            <w:left w:val="none" w:sz="0" w:space="0" w:color="auto"/>
            <w:bottom w:val="none" w:sz="0" w:space="0" w:color="auto"/>
            <w:right w:val="none" w:sz="0" w:space="0" w:color="auto"/>
          </w:divBdr>
        </w:div>
        <w:div w:id="489833030">
          <w:marLeft w:val="0"/>
          <w:marRight w:val="0"/>
          <w:marTop w:val="0"/>
          <w:marBottom w:val="0"/>
          <w:divBdr>
            <w:top w:val="none" w:sz="0" w:space="0" w:color="auto"/>
            <w:left w:val="none" w:sz="0" w:space="0" w:color="auto"/>
            <w:bottom w:val="none" w:sz="0" w:space="0" w:color="auto"/>
            <w:right w:val="none" w:sz="0" w:space="0" w:color="auto"/>
          </w:divBdr>
        </w:div>
        <w:div w:id="489833054">
          <w:marLeft w:val="0"/>
          <w:marRight w:val="0"/>
          <w:marTop w:val="0"/>
          <w:marBottom w:val="0"/>
          <w:divBdr>
            <w:top w:val="none" w:sz="0" w:space="0" w:color="auto"/>
            <w:left w:val="none" w:sz="0" w:space="0" w:color="auto"/>
            <w:bottom w:val="none" w:sz="0" w:space="0" w:color="auto"/>
            <w:right w:val="none" w:sz="0" w:space="0" w:color="auto"/>
          </w:divBdr>
        </w:div>
        <w:div w:id="489833055">
          <w:marLeft w:val="0"/>
          <w:marRight w:val="0"/>
          <w:marTop w:val="0"/>
          <w:marBottom w:val="0"/>
          <w:divBdr>
            <w:top w:val="none" w:sz="0" w:space="0" w:color="auto"/>
            <w:left w:val="none" w:sz="0" w:space="0" w:color="auto"/>
            <w:bottom w:val="none" w:sz="0" w:space="0" w:color="auto"/>
            <w:right w:val="none" w:sz="0" w:space="0" w:color="auto"/>
          </w:divBdr>
        </w:div>
      </w:divsChild>
    </w:div>
    <w:div w:id="489833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555</Words>
  <Characters>3054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5</cp:revision>
  <cp:lastPrinted>2024-02-23T13:11:00Z</cp:lastPrinted>
  <dcterms:created xsi:type="dcterms:W3CDTF">2024-03-05T10:08:00Z</dcterms:created>
  <dcterms:modified xsi:type="dcterms:W3CDTF">2024-03-08T10:16:00Z</dcterms:modified>
</cp:coreProperties>
</file>