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C8" w:rsidRPr="00CE1111" w:rsidRDefault="00BF10B7" w:rsidP="00B93EE6">
      <w:pPr>
        <w:jc w:val="center"/>
        <w:rPr>
          <w:rFonts w:ascii="Comic Sans MS" w:hAnsi="Comic Sans MS" w:cs="Comic Sans MS"/>
        </w:rPr>
      </w:pPr>
      <w:r>
        <w:rPr>
          <w:noProof/>
        </w:rPr>
        <w:drawing>
          <wp:anchor distT="0" distB="0" distL="114300" distR="114300" simplePos="0" relativeHeight="251654656" behindDoc="1" locked="0" layoutInCell="1" allowOverlap="1">
            <wp:simplePos x="0" y="0"/>
            <wp:positionH relativeFrom="column">
              <wp:posOffset>3810</wp:posOffset>
            </wp:positionH>
            <wp:positionV relativeFrom="paragraph">
              <wp:posOffset>99060</wp:posOffset>
            </wp:positionV>
            <wp:extent cx="1058545" cy="931545"/>
            <wp:effectExtent l="19050" t="0" r="825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8545" cy="931545"/>
                    </a:xfrm>
                    <a:prstGeom prst="rect">
                      <a:avLst/>
                    </a:prstGeom>
                    <a:noFill/>
                  </pic:spPr>
                </pic:pic>
              </a:graphicData>
            </a:graphic>
          </wp:anchor>
        </w:drawing>
      </w:r>
      <w:r w:rsidR="004A34C8" w:rsidRPr="00CE1111">
        <w:rPr>
          <w:rFonts w:ascii="Comic Sans MS" w:hAnsi="Comic Sans MS" w:cs="Comic Sans MS"/>
        </w:rPr>
        <w:t>COMMUNE D’AUSSAC-VADALLE</w:t>
      </w:r>
    </w:p>
    <w:p w:rsidR="004A34C8" w:rsidRPr="004D439D" w:rsidRDefault="004A34C8" w:rsidP="00B93EE6">
      <w:pPr>
        <w:pStyle w:val="Sous-titre"/>
        <w:rPr>
          <w:rFonts w:cs="Times New Roman"/>
          <w:sz w:val="16"/>
          <w:szCs w:val="16"/>
        </w:rPr>
      </w:pPr>
      <w:r>
        <w:t>Feuille d'informations municipales</w:t>
      </w:r>
    </w:p>
    <w:p w:rsidR="004A34C8" w:rsidRPr="00E417E4" w:rsidRDefault="004A34C8" w:rsidP="00B93EE6">
      <w:pPr>
        <w:jc w:val="center"/>
        <w:rPr>
          <w:rFonts w:ascii="Arial Narrow" w:hAnsi="Arial Narrow" w:cs="Arial Narrow"/>
          <w:sz w:val="2"/>
          <w:szCs w:val="2"/>
        </w:rPr>
      </w:pPr>
    </w:p>
    <w:p w:rsidR="004A34C8" w:rsidRDefault="004A34C8" w:rsidP="00183319">
      <w:pPr>
        <w:tabs>
          <w:tab w:val="left" w:pos="937"/>
          <w:tab w:val="left" w:pos="4320"/>
          <w:tab w:val="center" w:pos="5386"/>
        </w:tabs>
        <w:rPr>
          <w:rFonts w:ascii="Arial Narrow" w:hAnsi="Arial Narrow" w:cs="Arial Narrow"/>
          <w:b/>
          <w:bCs/>
        </w:rPr>
      </w:pPr>
      <w:r>
        <w:rPr>
          <w:rFonts w:ascii="Arial Narrow" w:hAnsi="Arial Narrow" w:cs="Arial Narrow"/>
          <w:b/>
          <w:bCs/>
        </w:rPr>
        <w:tab/>
      </w:r>
      <w:r>
        <w:rPr>
          <w:rFonts w:ascii="Arial Narrow" w:hAnsi="Arial Narrow" w:cs="Arial Narrow"/>
          <w:b/>
          <w:bCs/>
        </w:rPr>
        <w:tab/>
        <w:t>N° 28</w:t>
      </w:r>
      <w:r w:rsidR="00373776">
        <w:rPr>
          <w:rFonts w:ascii="Arial Narrow" w:hAnsi="Arial Narrow" w:cs="Arial Narrow"/>
          <w:b/>
          <w:bCs/>
        </w:rPr>
        <w:t>1</w:t>
      </w:r>
      <w:r>
        <w:rPr>
          <w:rFonts w:ascii="Arial Narrow" w:hAnsi="Arial Narrow" w:cs="Arial Narrow"/>
          <w:b/>
          <w:bCs/>
        </w:rPr>
        <w:t xml:space="preserve">  du </w:t>
      </w:r>
      <w:r w:rsidR="00851FEE">
        <w:rPr>
          <w:rFonts w:ascii="Arial Narrow" w:hAnsi="Arial Narrow" w:cs="Arial Narrow"/>
          <w:b/>
          <w:bCs/>
        </w:rPr>
        <w:t>18</w:t>
      </w:r>
      <w:r>
        <w:rPr>
          <w:rFonts w:ascii="Arial Narrow" w:hAnsi="Arial Narrow" w:cs="Arial Narrow"/>
          <w:b/>
          <w:bCs/>
        </w:rPr>
        <w:t xml:space="preserve">  </w:t>
      </w:r>
      <w:r w:rsidR="00373776">
        <w:rPr>
          <w:rFonts w:ascii="Arial Narrow" w:hAnsi="Arial Narrow" w:cs="Arial Narrow"/>
          <w:b/>
          <w:bCs/>
        </w:rPr>
        <w:t xml:space="preserve">avril </w:t>
      </w:r>
      <w:r>
        <w:rPr>
          <w:rFonts w:ascii="Arial Narrow" w:hAnsi="Arial Narrow" w:cs="Arial Narrow"/>
          <w:b/>
          <w:bCs/>
        </w:rPr>
        <w:t>2025</w:t>
      </w:r>
    </w:p>
    <w:p w:rsidR="004A34C8" w:rsidRPr="00C0590F" w:rsidRDefault="004A34C8" w:rsidP="0047064A">
      <w:pPr>
        <w:pStyle w:val="Rpertoire"/>
        <w:suppressLineNumbers w:val="0"/>
      </w:pPr>
    </w:p>
    <w:p w:rsidR="004A34C8" w:rsidRDefault="004A34C8" w:rsidP="003056A4">
      <w:pPr>
        <w:rPr>
          <w:b/>
          <w:bCs/>
          <w:u w:val="single"/>
        </w:rPr>
      </w:pPr>
    </w:p>
    <w:p w:rsidR="004A34C8" w:rsidRDefault="004A34C8" w:rsidP="00175C97"/>
    <w:p w:rsidR="004A34C8" w:rsidRDefault="00373776" w:rsidP="00BB1D1D">
      <w:pPr>
        <w:rPr>
          <w:b/>
          <w:bCs/>
          <w:u w:val="single"/>
        </w:rPr>
      </w:pPr>
      <w:r>
        <w:rPr>
          <w:b/>
          <w:bCs/>
          <w:u w:val="single"/>
        </w:rPr>
        <w:t>Mot du Maire</w:t>
      </w:r>
    </w:p>
    <w:p w:rsidR="00373776" w:rsidRPr="007D04C5" w:rsidRDefault="00373776" w:rsidP="00BB1D1D">
      <w:pPr>
        <w:rPr>
          <w:b/>
          <w:bCs/>
          <w:sz w:val="12"/>
          <w:szCs w:val="12"/>
          <w:u w:val="single"/>
        </w:rPr>
      </w:pPr>
    </w:p>
    <w:p w:rsidR="007D04C5" w:rsidRDefault="007D04C5" w:rsidP="00BB1D1D">
      <w:pPr>
        <w:rPr>
          <w:lang w:eastAsia="ar-SA"/>
        </w:rPr>
      </w:pPr>
    </w:p>
    <w:p w:rsidR="007D04C5" w:rsidRDefault="007D04C5" w:rsidP="00BB1D1D">
      <w:pPr>
        <w:rPr>
          <w:lang w:eastAsia="ar-SA"/>
        </w:rPr>
      </w:pPr>
    </w:p>
    <w:p w:rsidR="007D04C5" w:rsidRDefault="007D04C5" w:rsidP="00BB1D1D">
      <w:pPr>
        <w:rPr>
          <w:lang w:eastAsia="ar-SA"/>
        </w:rPr>
      </w:pPr>
    </w:p>
    <w:p w:rsidR="007D04C5" w:rsidRDefault="007D04C5" w:rsidP="00BB1D1D">
      <w:pPr>
        <w:rPr>
          <w:lang w:eastAsia="ar-SA"/>
        </w:rPr>
      </w:pPr>
    </w:p>
    <w:p w:rsidR="007D04C5" w:rsidRDefault="007D04C5" w:rsidP="00BB1D1D">
      <w:pPr>
        <w:rPr>
          <w:lang w:eastAsia="ar-SA"/>
        </w:rPr>
      </w:pPr>
    </w:p>
    <w:p w:rsidR="009362C8" w:rsidRDefault="00BE1403" w:rsidP="00BB1D1D">
      <w:pPr>
        <w:rPr>
          <w:b/>
          <w:bCs/>
          <w:u w:val="single"/>
        </w:rPr>
      </w:pPr>
      <w:r w:rsidRPr="00BE1403">
        <w:rPr>
          <w:b/>
          <w:bCs/>
          <w:u w:val="single"/>
        </w:rPr>
        <w:t>Channes Express III</w:t>
      </w:r>
    </w:p>
    <w:p w:rsidR="007D04C5" w:rsidRPr="007D04C5" w:rsidRDefault="007D04C5" w:rsidP="00BB1D1D">
      <w:pPr>
        <w:rPr>
          <w:b/>
          <w:bCs/>
          <w:sz w:val="12"/>
          <w:szCs w:val="12"/>
          <w:u w:val="single"/>
        </w:rPr>
      </w:pPr>
    </w:p>
    <w:p w:rsidR="00BE1403" w:rsidRPr="00BE1403" w:rsidRDefault="00BE1403" w:rsidP="00BB1D1D">
      <w:r w:rsidRPr="00BE1403">
        <w:t xml:space="preserve">Retenez la date du </w:t>
      </w:r>
      <w:r w:rsidRPr="007D04C5">
        <w:rPr>
          <w:b/>
        </w:rPr>
        <w:t>19 juin 2025</w:t>
      </w:r>
      <w:r w:rsidRPr="00BE1403">
        <w:t>.</w:t>
      </w:r>
    </w:p>
    <w:p w:rsidR="00BE1403" w:rsidRPr="00BE1403" w:rsidRDefault="00BE1403" w:rsidP="00BB1D1D">
      <w:pPr>
        <w:rPr>
          <w:b/>
          <w:bCs/>
          <w:u w:val="single"/>
        </w:rPr>
      </w:pPr>
    </w:p>
    <w:p w:rsidR="009362C8" w:rsidRDefault="00851FEE" w:rsidP="00BB1D1D">
      <w:pPr>
        <w:rPr>
          <w:b/>
          <w:bCs/>
          <w:u w:val="single"/>
        </w:rPr>
      </w:pPr>
      <w:r w:rsidRPr="00851FEE">
        <w:rPr>
          <w:b/>
          <w:bCs/>
          <w:u w:val="single"/>
        </w:rPr>
        <w:t>Cérémonie du 08 mai</w:t>
      </w:r>
    </w:p>
    <w:p w:rsidR="007D04C5" w:rsidRPr="007D04C5" w:rsidRDefault="007D04C5" w:rsidP="00BB1D1D">
      <w:pPr>
        <w:rPr>
          <w:b/>
          <w:bCs/>
          <w:sz w:val="12"/>
          <w:szCs w:val="12"/>
          <w:u w:val="single"/>
        </w:rPr>
      </w:pPr>
    </w:p>
    <w:p w:rsidR="00851FEE" w:rsidRDefault="00851FEE" w:rsidP="00851FEE">
      <w:r>
        <w:t>Le Conseil Municipal et les Anciens Combattants de la commune vous invitent à la commémoration de la Victoire de 1945 qui se déroulera à 10h30</w:t>
      </w:r>
      <w:r w:rsidR="007D04C5">
        <w:t>,</w:t>
      </w:r>
      <w:r>
        <w:t xml:space="preserve"> </w:t>
      </w:r>
      <w:r w:rsidR="007D04C5">
        <w:t>d</w:t>
      </w:r>
      <w:r>
        <w:t>épôt de gerbes sur la stèle du monument Américain (Jauldes), puis sur la stèle du crash de l'avion US (Aussac-Vadalle) et à 11h30 à la Croix d'Aussac suivi du dépôt de gerbes au monument aux morts.</w:t>
      </w:r>
    </w:p>
    <w:p w:rsidR="00851FEE" w:rsidRPr="00BE1403" w:rsidRDefault="00851FEE" w:rsidP="00851FEE">
      <w:pPr>
        <w:jc w:val="both"/>
      </w:pPr>
      <w:r w:rsidRPr="00BE1403">
        <w:t xml:space="preserve">Nous nous retrouverons ensuite </w:t>
      </w:r>
      <w:r w:rsidR="00BE1403" w:rsidRPr="00BE1403">
        <w:t>au Centre Socio</w:t>
      </w:r>
      <w:r w:rsidRPr="00BE1403">
        <w:t>culturel où le vin d’honneur sera servi.</w:t>
      </w:r>
    </w:p>
    <w:p w:rsidR="009362C8" w:rsidRDefault="009362C8" w:rsidP="00BB1D1D">
      <w:pPr>
        <w:rPr>
          <w:lang w:eastAsia="ar-SA"/>
        </w:rPr>
      </w:pPr>
    </w:p>
    <w:p w:rsidR="00851FEE" w:rsidRDefault="00851FEE" w:rsidP="00BB1D1D">
      <w:pPr>
        <w:rPr>
          <w:b/>
          <w:bCs/>
          <w:u w:val="single"/>
        </w:rPr>
      </w:pPr>
      <w:r w:rsidRPr="00BE1403">
        <w:rPr>
          <w:b/>
          <w:bCs/>
          <w:u w:val="single"/>
        </w:rPr>
        <w:t>Résidence du Verger</w:t>
      </w:r>
    </w:p>
    <w:p w:rsidR="007D04C5" w:rsidRPr="007D04C5" w:rsidRDefault="007D04C5" w:rsidP="00BB1D1D">
      <w:pPr>
        <w:rPr>
          <w:b/>
          <w:bCs/>
          <w:sz w:val="12"/>
          <w:szCs w:val="12"/>
          <w:u w:val="single"/>
        </w:rPr>
      </w:pPr>
    </w:p>
    <w:p w:rsidR="00851FEE" w:rsidRDefault="00851FEE" w:rsidP="00BB1D1D">
      <w:pPr>
        <w:rPr>
          <w:lang w:eastAsia="ar-SA"/>
        </w:rPr>
      </w:pPr>
      <w:r>
        <w:rPr>
          <w:lang w:eastAsia="ar-SA"/>
        </w:rPr>
        <w:t>Les personnes qui veulent retirer un dossier doivent se présenter au plus tôt en mairie avant attribution des logements</w:t>
      </w:r>
      <w:r w:rsidR="007D04C5">
        <w:rPr>
          <w:lang w:eastAsia="ar-SA"/>
        </w:rPr>
        <w:t xml:space="preserve"> très prochainement</w:t>
      </w:r>
      <w:r>
        <w:rPr>
          <w:lang w:eastAsia="ar-SA"/>
        </w:rPr>
        <w:t>.</w:t>
      </w:r>
    </w:p>
    <w:p w:rsidR="00851FEE" w:rsidRDefault="00851FEE" w:rsidP="00BB1D1D">
      <w:pPr>
        <w:rPr>
          <w:lang w:eastAsia="ar-SA"/>
        </w:rPr>
      </w:pPr>
    </w:p>
    <w:p w:rsidR="00851FEE" w:rsidRDefault="00851FEE" w:rsidP="00BB1D1D">
      <w:pPr>
        <w:rPr>
          <w:b/>
          <w:bCs/>
          <w:u w:val="single"/>
        </w:rPr>
      </w:pPr>
      <w:r w:rsidRPr="00851FEE">
        <w:rPr>
          <w:b/>
          <w:bCs/>
          <w:u w:val="single"/>
        </w:rPr>
        <w:t>Emplois saisonniers</w:t>
      </w:r>
    </w:p>
    <w:p w:rsidR="007D04C5" w:rsidRPr="007D04C5" w:rsidRDefault="007D04C5" w:rsidP="00BB1D1D">
      <w:pPr>
        <w:rPr>
          <w:b/>
          <w:bCs/>
          <w:sz w:val="12"/>
          <w:szCs w:val="12"/>
          <w:u w:val="single"/>
        </w:rPr>
      </w:pPr>
    </w:p>
    <w:p w:rsidR="00BE1403" w:rsidRPr="00BE1403" w:rsidRDefault="00BE1403" w:rsidP="00BE1403">
      <w:pPr>
        <w:jc w:val="both"/>
      </w:pPr>
      <w:r w:rsidRPr="00BE1403">
        <w:t>Comme en 202</w:t>
      </w:r>
      <w:r>
        <w:t>4</w:t>
      </w:r>
      <w:r w:rsidRPr="00BE1403">
        <w:t xml:space="preserve">, la commune recrutera des jeunes sur la période estivale. Ces postes sont ouverts aux jeunes de la commune de plus de 16 ans. Il s’agira pour eux de participer aux travaux d’entretien de la commune. La lettre de candidature et le CV sont à déposer au secrétariat de mairie. </w:t>
      </w:r>
    </w:p>
    <w:p w:rsidR="009362C8" w:rsidRPr="009362C8" w:rsidRDefault="009362C8" w:rsidP="00BB1D1D">
      <w:pPr>
        <w:rPr>
          <w:lang w:eastAsia="ar-SA"/>
        </w:rPr>
      </w:pPr>
    </w:p>
    <w:p w:rsidR="00373776" w:rsidRDefault="00373776" w:rsidP="00BB1D1D">
      <w:pPr>
        <w:rPr>
          <w:b/>
          <w:bCs/>
          <w:u w:val="single"/>
        </w:rPr>
      </w:pPr>
      <w:r>
        <w:rPr>
          <w:b/>
          <w:bCs/>
          <w:u w:val="single"/>
        </w:rPr>
        <w:t>Vote du compte administratif 2024 :</w:t>
      </w:r>
    </w:p>
    <w:p w:rsidR="00373776" w:rsidRPr="009362C8" w:rsidRDefault="00373776" w:rsidP="00BB1D1D">
      <w:pPr>
        <w:rPr>
          <w:b/>
          <w:bCs/>
          <w:sz w:val="12"/>
          <w:szCs w:val="12"/>
          <w:u w:val="single"/>
        </w:rPr>
      </w:pPr>
    </w:p>
    <w:p w:rsidR="00292057" w:rsidRDefault="00292057" w:rsidP="00292057">
      <w:pPr>
        <w:rPr>
          <w:lang w:eastAsia="ar-SA"/>
        </w:rPr>
      </w:pPr>
      <w:r w:rsidRPr="00D850A4">
        <w:rPr>
          <w:lang w:eastAsia="ar-SA"/>
        </w:rPr>
        <w:t xml:space="preserve">Le </w:t>
      </w:r>
      <w:r>
        <w:rPr>
          <w:lang w:eastAsia="ar-SA"/>
        </w:rPr>
        <w:t>Conseil Municipal a voté le compte administratif 2024, il s’agit de l’exécution du budget en dépenses et en recettes validée par le Trésorie</w:t>
      </w:r>
      <w:r w:rsidR="009E6B81">
        <w:rPr>
          <w:lang w:eastAsia="ar-SA"/>
        </w:rPr>
        <w:t>r</w:t>
      </w:r>
      <w:r>
        <w:rPr>
          <w:lang w:eastAsia="ar-SA"/>
        </w:rPr>
        <w:t xml:space="preserve"> municipal de Ruffec et par le Conseiller aux Décideurs Locaux de la DDFIP.</w:t>
      </w:r>
    </w:p>
    <w:p w:rsidR="00292057" w:rsidRDefault="00292057" w:rsidP="00292057">
      <w:pPr>
        <w:rPr>
          <w:b/>
          <w:lang w:eastAsia="ar-SA"/>
        </w:rPr>
      </w:pPr>
      <w:r>
        <w:rPr>
          <w:lang w:eastAsia="ar-SA"/>
        </w:rPr>
        <w:t xml:space="preserve">Le résultat cumulé de 2024 est </w:t>
      </w:r>
      <w:r w:rsidRPr="001D0C41">
        <w:rPr>
          <w:b/>
          <w:lang w:eastAsia="ar-SA"/>
        </w:rPr>
        <w:t>excédentaire de</w:t>
      </w:r>
      <w:r>
        <w:rPr>
          <w:lang w:eastAsia="ar-SA"/>
        </w:rPr>
        <w:t xml:space="preserve"> </w:t>
      </w:r>
      <w:r>
        <w:rPr>
          <w:b/>
          <w:lang w:eastAsia="ar-SA"/>
        </w:rPr>
        <w:t>94 432,94</w:t>
      </w:r>
      <w:r w:rsidRPr="00E14505">
        <w:rPr>
          <w:b/>
          <w:lang w:eastAsia="ar-SA"/>
        </w:rPr>
        <w:t xml:space="preserve"> €</w:t>
      </w:r>
      <w:r w:rsidR="00CA20AF">
        <w:rPr>
          <w:b/>
          <w:lang w:eastAsia="ar-SA"/>
        </w:rPr>
        <w:t xml:space="preserve"> et le résultat d’investissement est excédentaire de 188 468,13 €.</w:t>
      </w:r>
    </w:p>
    <w:p w:rsidR="00292057" w:rsidRDefault="00292057" w:rsidP="00292057">
      <w:pPr>
        <w:rPr>
          <w:lang w:eastAsia="ar-SA"/>
        </w:rPr>
      </w:pPr>
      <w:r w:rsidRPr="00A527BE">
        <w:rPr>
          <w:lang w:eastAsia="ar-SA"/>
        </w:rPr>
        <w:t>Conformément à la réglementation le vote du compte administratif comprend les financement</w:t>
      </w:r>
      <w:r>
        <w:rPr>
          <w:lang w:eastAsia="ar-SA"/>
        </w:rPr>
        <w:t>s</w:t>
      </w:r>
      <w:r w:rsidRPr="00A527BE">
        <w:rPr>
          <w:lang w:eastAsia="ar-SA"/>
        </w:rPr>
        <w:t xml:space="preserve"> nécessaires à la complète réalisation des opérations engagées. </w:t>
      </w:r>
    </w:p>
    <w:p w:rsidR="00292057" w:rsidRPr="009362C8" w:rsidRDefault="00292057" w:rsidP="00292057">
      <w:pPr>
        <w:rPr>
          <w:sz w:val="12"/>
          <w:szCs w:val="12"/>
          <w:lang w:eastAsia="ar-SA"/>
        </w:rPr>
      </w:pPr>
    </w:p>
    <w:p w:rsidR="00292057" w:rsidRDefault="00292057" w:rsidP="00292057">
      <w:pPr>
        <w:rPr>
          <w:lang w:eastAsia="ar-SA"/>
        </w:rPr>
      </w:pPr>
      <w:r>
        <w:rPr>
          <w:lang w:eastAsia="ar-SA"/>
        </w:rPr>
        <w:t>Le CA 2024 avec le report de 2023 et les RAR à réaliser pour 2024 s’établit comme suit :</w:t>
      </w:r>
    </w:p>
    <w:p w:rsidR="002B23CC" w:rsidRPr="009362C8" w:rsidRDefault="002B23CC" w:rsidP="00BB1D1D">
      <w:pPr>
        <w:rPr>
          <w:sz w:val="12"/>
          <w:szCs w:val="12"/>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7"/>
        <w:gridCol w:w="3638"/>
        <w:gridCol w:w="3638"/>
      </w:tblGrid>
      <w:tr w:rsidR="002B23CC" w:rsidRPr="00D850A4" w:rsidTr="007459A5">
        <w:tc>
          <w:tcPr>
            <w:tcW w:w="3637" w:type="dxa"/>
          </w:tcPr>
          <w:p w:rsidR="002B23CC" w:rsidRPr="00D850A4" w:rsidRDefault="002B23CC" w:rsidP="007459A5">
            <w:pPr>
              <w:jc w:val="center"/>
              <w:rPr>
                <w:lang w:eastAsia="ar-SA"/>
              </w:rPr>
            </w:pPr>
          </w:p>
        </w:tc>
        <w:tc>
          <w:tcPr>
            <w:tcW w:w="3638" w:type="dxa"/>
          </w:tcPr>
          <w:p w:rsidR="002B23CC" w:rsidRPr="00150B42" w:rsidRDefault="002B23CC" w:rsidP="007459A5">
            <w:pPr>
              <w:jc w:val="center"/>
              <w:rPr>
                <w:b/>
                <w:u w:val="single"/>
                <w:lang w:eastAsia="ar-SA"/>
              </w:rPr>
            </w:pPr>
            <w:r w:rsidRPr="00150B42">
              <w:rPr>
                <w:b/>
                <w:u w:val="single"/>
                <w:lang w:eastAsia="ar-SA"/>
              </w:rPr>
              <w:t>DEPENSES</w:t>
            </w:r>
          </w:p>
        </w:tc>
        <w:tc>
          <w:tcPr>
            <w:tcW w:w="3638" w:type="dxa"/>
          </w:tcPr>
          <w:p w:rsidR="002B23CC" w:rsidRPr="00150B42" w:rsidRDefault="002B23CC" w:rsidP="007459A5">
            <w:pPr>
              <w:jc w:val="center"/>
              <w:rPr>
                <w:b/>
                <w:u w:val="single"/>
                <w:lang w:eastAsia="ar-SA"/>
              </w:rPr>
            </w:pPr>
            <w:r w:rsidRPr="00150B42">
              <w:rPr>
                <w:b/>
                <w:u w:val="single"/>
                <w:lang w:eastAsia="ar-SA"/>
              </w:rPr>
              <w:t>RECETTES</w:t>
            </w:r>
          </w:p>
        </w:tc>
      </w:tr>
      <w:tr w:rsidR="002B23CC" w:rsidRPr="00D850A4" w:rsidTr="007459A5">
        <w:trPr>
          <w:trHeight w:val="386"/>
        </w:trPr>
        <w:tc>
          <w:tcPr>
            <w:tcW w:w="3637" w:type="dxa"/>
          </w:tcPr>
          <w:p w:rsidR="002B23CC" w:rsidRPr="00D850A4" w:rsidRDefault="002B23CC" w:rsidP="007459A5">
            <w:pPr>
              <w:jc w:val="center"/>
              <w:rPr>
                <w:lang w:eastAsia="ar-SA"/>
              </w:rPr>
            </w:pPr>
            <w:r w:rsidRPr="00D850A4">
              <w:rPr>
                <w:lang w:eastAsia="ar-SA"/>
              </w:rPr>
              <w:t>Section de fonctionnement</w:t>
            </w:r>
          </w:p>
        </w:tc>
        <w:tc>
          <w:tcPr>
            <w:tcW w:w="3638" w:type="dxa"/>
          </w:tcPr>
          <w:p w:rsidR="002B23CC" w:rsidRPr="00D850A4" w:rsidRDefault="002B23CC" w:rsidP="002B23CC">
            <w:pPr>
              <w:tabs>
                <w:tab w:val="left" w:pos="899"/>
              </w:tabs>
              <w:jc w:val="center"/>
              <w:rPr>
                <w:lang w:eastAsia="ar-SA"/>
              </w:rPr>
            </w:pPr>
            <w:r>
              <w:rPr>
                <w:lang w:eastAsia="ar-SA"/>
              </w:rPr>
              <w:t xml:space="preserve">    413 369,15 €</w:t>
            </w:r>
          </w:p>
        </w:tc>
        <w:tc>
          <w:tcPr>
            <w:tcW w:w="3638" w:type="dxa"/>
          </w:tcPr>
          <w:p w:rsidR="002B23CC" w:rsidRPr="00D850A4" w:rsidRDefault="002B23CC" w:rsidP="002B23CC">
            <w:pPr>
              <w:jc w:val="center"/>
              <w:rPr>
                <w:lang w:eastAsia="ar-SA"/>
              </w:rPr>
            </w:pPr>
            <w:r>
              <w:rPr>
                <w:lang w:eastAsia="ar-SA"/>
              </w:rPr>
              <w:t xml:space="preserve">   663 878,81 €</w:t>
            </w:r>
          </w:p>
        </w:tc>
      </w:tr>
      <w:tr w:rsidR="002B23CC" w:rsidRPr="00D850A4" w:rsidTr="007459A5">
        <w:trPr>
          <w:trHeight w:val="331"/>
        </w:trPr>
        <w:tc>
          <w:tcPr>
            <w:tcW w:w="3637" w:type="dxa"/>
          </w:tcPr>
          <w:p w:rsidR="002B23CC" w:rsidRPr="00D850A4" w:rsidRDefault="002B23CC" w:rsidP="007459A5">
            <w:pPr>
              <w:jc w:val="center"/>
              <w:rPr>
                <w:lang w:eastAsia="ar-SA"/>
              </w:rPr>
            </w:pPr>
            <w:r w:rsidRPr="00D850A4">
              <w:rPr>
                <w:lang w:eastAsia="ar-SA"/>
              </w:rPr>
              <w:t>Section d’investissement</w:t>
            </w:r>
          </w:p>
        </w:tc>
        <w:tc>
          <w:tcPr>
            <w:tcW w:w="3638" w:type="dxa"/>
          </w:tcPr>
          <w:p w:rsidR="002B23CC" w:rsidRPr="00D850A4" w:rsidRDefault="002B23CC" w:rsidP="002B23CC">
            <w:pPr>
              <w:rPr>
                <w:lang w:eastAsia="ar-SA"/>
              </w:rPr>
            </w:pPr>
            <w:r>
              <w:rPr>
                <w:lang w:eastAsia="ar-SA"/>
              </w:rPr>
              <w:t xml:space="preserve">                    948 517,58 €</w:t>
            </w:r>
          </w:p>
        </w:tc>
        <w:tc>
          <w:tcPr>
            <w:tcW w:w="3638" w:type="dxa"/>
          </w:tcPr>
          <w:p w:rsidR="002B23CC" w:rsidRPr="00D850A4" w:rsidRDefault="002B23CC" w:rsidP="007459A5">
            <w:pPr>
              <w:jc w:val="center"/>
              <w:rPr>
                <w:lang w:eastAsia="ar-SA"/>
              </w:rPr>
            </w:pPr>
            <w:r>
              <w:rPr>
                <w:lang w:eastAsia="ar-SA"/>
              </w:rPr>
              <w:t xml:space="preserve">  792 440,86 €</w:t>
            </w:r>
          </w:p>
        </w:tc>
      </w:tr>
      <w:tr w:rsidR="002B23CC" w:rsidRPr="00D850A4" w:rsidTr="007459A5">
        <w:trPr>
          <w:trHeight w:val="331"/>
        </w:trPr>
        <w:tc>
          <w:tcPr>
            <w:tcW w:w="3637" w:type="dxa"/>
          </w:tcPr>
          <w:p w:rsidR="002B23CC" w:rsidRPr="00D850A4" w:rsidRDefault="002B23CC" w:rsidP="007459A5">
            <w:pPr>
              <w:jc w:val="center"/>
              <w:rPr>
                <w:lang w:eastAsia="ar-SA"/>
              </w:rPr>
            </w:pPr>
            <w:r w:rsidRPr="00D850A4">
              <w:rPr>
                <w:lang w:eastAsia="ar-SA"/>
              </w:rPr>
              <w:t>Total Cumulé</w:t>
            </w:r>
          </w:p>
        </w:tc>
        <w:tc>
          <w:tcPr>
            <w:tcW w:w="3638" w:type="dxa"/>
          </w:tcPr>
          <w:p w:rsidR="002B23CC" w:rsidRPr="00D850A4" w:rsidRDefault="002B23CC" w:rsidP="002B23CC">
            <w:pPr>
              <w:jc w:val="center"/>
              <w:rPr>
                <w:lang w:eastAsia="ar-SA"/>
              </w:rPr>
            </w:pPr>
            <w:r>
              <w:rPr>
                <w:lang w:eastAsia="ar-SA"/>
              </w:rPr>
              <w:t xml:space="preserve">  1 361 886,73 €</w:t>
            </w:r>
          </w:p>
        </w:tc>
        <w:tc>
          <w:tcPr>
            <w:tcW w:w="3638" w:type="dxa"/>
          </w:tcPr>
          <w:p w:rsidR="002B23CC" w:rsidRPr="00D850A4" w:rsidRDefault="002B23CC" w:rsidP="002B23CC">
            <w:pPr>
              <w:jc w:val="center"/>
              <w:rPr>
                <w:lang w:eastAsia="ar-SA"/>
              </w:rPr>
            </w:pPr>
            <w:r>
              <w:rPr>
                <w:lang w:eastAsia="ar-SA"/>
              </w:rPr>
              <w:t>1 456 319,67 €</w:t>
            </w:r>
          </w:p>
        </w:tc>
      </w:tr>
      <w:tr w:rsidR="002B23CC" w:rsidRPr="00D850A4" w:rsidTr="007459A5">
        <w:trPr>
          <w:trHeight w:val="413"/>
        </w:trPr>
        <w:tc>
          <w:tcPr>
            <w:tcW w:w="3637" w:type="dxa"/>
          </w:tcPr>
          <w:p w:rsidR="002B23CC" w:rsidRPr="00D850A4" w:rsidRDefault="002B23CC" w:rsidP="007459A5">
            <w:pPr>
              <w:jc w:val="center"/>
              <w:rPr>
                <w:lang w:eastAsia="ar-SA"/>
              </w:rPr>
            </w:pPr>
            <w:r w:rsidRPr="00D850A4">
              <w:rPr>
                <w:lang w:eastAsia="ar-SA"/>
              </w:rPr>
              <w:t>Résultat excédentaire</w:t>
            </w:r>
          </w:p>
        </w:tc>
        <w:tc>
          <w:tcPr>
            <w:tcW w:w="3638" w:type="dxa"/>
          </w:tcPr>
          <w:p w:rsidR="002B23CC" w:rsidRPr="00D850A4" w:rsidRDefault="002B23CC" w:rsidP="007459A5">
            <w:pPr>
              <w:jc w:val="center"/>
              <w:rPr>
                <w:lang w:eastAsia="ar-SA"/>
              </w:rPr>
            </w:pPr>
          </w:p>
        </w:tc>
        <w:tc>
          <w:tcPr>
            <w:tcW w:w="3638" w:type="dxa"/>
          </w:tcPr>
          <w:p w:rsidR="002B23CC" w:rsidRPr="00A527BE" w:rsidRDefault="002B23CC" w:rsidP="006F4FDE">
            <w:pPr>
              <w:jc w:val="center"/>
              <w:rPr>
                <w:b/>
                <w:lang w:eastAsia="ar-SA"/>
              </w:rPr>
            </w:pPr>
            <w:r>
              <w:rPr>
                <w:lang w:eastAsia="ar-SA"/>
              </w:rPr>
              <w:t xml:space="preserve">    </w:t>
            </w:r>
            <w:r w:rsidRPr="00A527BE">
              <w:rPr>
                <w:b/>
                <w:lang w:eastAsia="ar-SA"/>
              </w:rPr>
              <w:t>9</w:t>
            </w:r>
            <w:r w:rsidR="006F4FDE">
              <w:rPr>
                <w:b/>
                <w:lang w:eastAsia="ar-SA"/>
              </w:rPr>
              <w:t>4</w:t>
            </w:r>
            <w:r w:rsidRPr="00A527BE">
              <w:rPr>
                <w:b/>
                <w:lang w:eastAsia="ar-SA"/>
              </w:rPr>
              <w:t xml:space="preserve"> </w:t>
            </w:r>
            <w:r w:rsidR="006F4FDE">
              <w:rPr>
                <w:b/>
                <w:lang w:eastAsia="ar-SA"/>
              </w:rPr>
              <w:t>432</w:t>
            </w:r>
            <w:r w:rsidRPr="00A527BE">
              <w:rPr>
                <w:b/>
                <w:lang w:eastAsia="ar-SA"/>
              </w:rPr>
              <w:t>,</w:t>
            </w:r>
            <w:r w:rsidR="006F4FDE">
              <w:rPr>
                <w:b/>
                <w:lang w:eastAsia="ar-SA"/>
              </w:rPr>
              <w:t>94</w:t>
            </w:r>
            <w:r w:rsidRPr="00A527BE">
              <w:rPr>
                <w:b/>
                <w:lang w:eastAsia="ar-SA"/>
              </w:rPr>
              <w:t xml:space="preserve"> €</w:t>
            </w:r>
          </w:p>
        </w:tc>
      </w:tr>
    </w:tbl>
    <w:p w:rsidR="00292057" w:rsidRDefault="00292057" w:rsidP="00292057">
      <w:pPr>
        <w:jc w:val="center"/>
        <w:rPr>
          <w:i/>
          <w:lang w:eastAsia="ar-SA"/>
        </w:rPr>
      </w:pPr>
      <w:r w:rsidRPr="00F44120">
        <w:rPr>
          <w:i/>
          <w:lang w:eastAsia="ar-SA"/>
        </w:rPr>
        <w:t>Le détail du CA 202</w:t>
      </w:r>
      <w:r>
        <w:rPr>
          <w:i/>
          <w:lang w:eastAsia="ar-SA"/>
        </w:rPr>
        <w:t>4</w:t>
      </w:r>
      <w:r w:rsidRPr="00F44120">
        <w:rPr>
          <w:i/>
          <w:lang w:eastAsia="ar-SA"/>
        </w:rPr>
        <w:t xml:space="preserve"> est consultable au secrétariat de la mairie.</w:t>
      </w:r>
    </w:p>
    <w:p w:rsidR="002B23CC" w:rsidRPr="009362C8" w:rsidRDefault="002B23CC" w:rsidP="00BB1D1D">
      <w:pPr>
        <w:rPr>
          <w:sz w:val="12"/>
          <w:szCs w:val="12"/>
          <w:lang w:eastAsia="ar-SA"/>
        </w:rPr>
      </w:pPr>
    </w:p>
    <w:p w:rsidR="00373776" w:rsidRDefault="00373776" w:rsidP="00BB1D1D">
      <w:pPr>
        <w:rPr>
          <w:b/>
          <w:bCs/>
          <w:u w:val="single"/>
        </w:rPr>
      </w:pPr>
      <w:r>
        <w:rPr>
          <w:b/>
          <w:bCs/>
          <w:u w:val="single"/>
        </w:rPr>
        <w:t>Taux d’imposition des taxes locales pour 2025 :</w:t>
      </w:r>
    </w:p>
    <w:p w:rsidR="00373776" w:rsidRPr="009362C8" w:rsidRDefault="00373776" w:rsidP="00BB1D1D">
      <w:pPr>
        <w:rPr>
          <w:sz w:val="12"/>
          <w:szCs w:val="12"/>
          <w:lang w:eastAsia="ar-SA"/>
        </w:rPr>
      </w:pPr>
    </w:p>
    <w:p w:rsidR="00373776" w:rsidRPr="00373776" w:rsidRDefault="00373776" w:rsidP="00BB1D1D">
      <w:pPr>
        <w:rPr>
          <w:bCs/>
        </w:rPr>
      </w:pPr>
      <w:r w:rsidRPr="00373776">
        <w:rPr>
          <w:bCs/>
        </w:rPr>
        <w:t>Les taux sont identiques à ceux de 2024 et s’établissent comme suit :</w:t>
      </w:r>
    </w:p>
    <w:p w:rsidR="00373776" w:rsidRPr="00373776" w:rsidRDefault="00373776" w:rsidP="00BB1D1D">
      <w:pPr>
        <w:rPr>
          <w:bCs/>
        </w:rPr>
      </w:pPr>
      <w:r w:rsidRPr="00373776">
        <w:rPr>
          <w:bCs/>
        </w:rPr>
        <w:lastRenderedPageBreak/>
        <w:t>Taxe d’habitation pour les résidences secondaires</w:t>
      </w:r>
      <w:r>
        <w:rPr>
          <w:bCs/>
        </w:rPr>
        <w:t xml:space="preserve"> </w:t>
      </w:r>
      <w:r w:rsidRPr="00373776">
        <w:rPr>
          <w:b/>
          <w:bCs/>
        </w:rPr>
        <w:t>16,11%</w:t>
      </w:r>
      <w:r>
        <w:rPr>
          <w:bCs/>
        </w:rPr>
        <w:t xml:space="preserve">, taxe foncière bâtie </w:t>
      </w:r>
      <w:r w:rsidRPr="00373776">
        <w:rPr>
          <w:b/>
          <w:bCs/>
        </w:rPr>
        <w:t>43,89%</w:t>
      </w:r>
      <w:r w:rsidRPr="00373776">
        <w:rPr>
          <w:bCs/>
        </w:rPr>
        <w:t>,</w:t>
      </w:r>
      <w:r>
        <w:rPr>
          <w:bCs/>
        </w:rPr>
        <w:t xml:space="preserve"> taxe foncière non bâtie </w:t>
      </w:r>
      <w:r w:rsidRPr="00373776">
        <w:rPr>
          <w:b/>
          <w:bCs/>
        </w:rPr>
        <w:t>64,38%</w:t>
      </w:r>
      <w:r>
        <w:rPr>
          <w:bCs/>
        </w:rPr>
        <w:t xml:space="preserve"> et Cotisation foncière des entreprises </w:t>
      </w:r>
      <w:r w:rsidRPr="00373776">
        <w:rPr>
          <w:b/>
          <w:bCs/>
        </w:rPr>
        <w:t>21,57%</w:t>
      </w:r>
      <w:r>
        <w:rPr>
          <w:bCs/>
        </w:rPr>
        <w:t>.</w:t>
      </w:r>
    </w:p>
    <w:p w:rsidR="00373776" w:rsidRPr="009362C8" w:rsidRDefault="00373776" w:rsidP="00BB1D1D">
      <w:pPr>
        <w:rPr>
          <w:sz w:val="12"/>
          <w:szCs w:val="12"/>
          <w:lang w:eastAsia="ar-SA"/>
        </w:rPr>
      </w:pPr>
    </w:p>
    <w:p w:rsidR="00373776" w:rsidRPr="00373776" w:rsidRDefault="00373776" w:rsidP="00BB1D1D">
      <w:pPr>
        <w:rPr>
          <w:b/>
          <w:bCs/>
          <w:u w:val="single"/>
        </w:rPr>
      </w:pPr>
      <w:r w:rsidRPr="00373776">
        <w:rPr>
          <w:b/>
          <w:bCs/>
          <w:u w:val="single"/>
        </w:rPr>
        <w:t>Budget 2025</w:t>
      </w:r>
    </w:p>
    <w:p w:rsidR="004A34C8" w:rsidRPr="00373776" w:rsidRDefault="004A34C8" w:rsidP="00BB1D1D">
      <w:pPr>
        <w:rPr>
          <w:bCs/>
          <w:sz w:val="16"/>
          <w:szCs w:val="16"/>
        </w:rPr>
      </w:pPr>
    </w:p>
    <w:p w:rsidR="00292057" w:rsidRDefault="00292057" w:rsidP="00292057">
      <w:pPr>
        <w:jc w:val="center"/>
        <w:rPr>
          <w:b/>
          <w:bCs/>
          <w:i/>
          <w:iCs/>
          <w:sz w:val="20"/>
          <w:szCs w:val="20"/>
        </w:rPr>
      </w:pPr>
      <w:r>
        <w:rPr>
          <w:b/>
          <w:bCs/>
          <w:i/>
          <w:iCs/>
        </w:rPr>
        <w:t>Le budget 2025 a été voté à l’unanimité le lundi 07 avril 2025 pour un total de 1 427 708,94 €.</w:t>
      </w:r>
    </w:p>
    <w:p w:rsidR="00292057" w:rsidRPr="00D969CD" w:rsidRDefault="00292057" w:rsidP="00292057">
      <w:pPr>
        <w:jc w:val="center"/>
        <w:rPr>
          <w:b/>
          <w:bCs/>
          <w:szCs w:val="20"/>
          <w:u w:val="single"/>
        </w:rPr>
      </w:pPr>
      <w:r w:rsidRPr="00D969CD">
        <w:rPr>
          <w:b/>
          <w:bCs/>
          <w:szCs w:val="20"/>
          <w:u w:val="single"/>
        </w:rPr>
        <w:t>Section Fonctionnement</w:t>
      </w:r>
    </w:p>
    <w:tbl>
      <w:tblPr>
        <w:tblW w:w="9523" w:type="dxa"/>
        <w:jc w:val="center"/>
        <w:tblInd w:w="-1809" w:type="dxa"/>
        <w:tblLayout w:type="fixed"/>
        <w:tblLook w:val="00A0"/>
      </w:tblPr>
      <w:tblGrid>
        <w:gridCol w:w="3086"/>
        <w:gridCol w:w="1522"/>
        <w:gridCol w:w="3333"/>
        <w:gridCol w:w="1582"/>
      </w:tblGrid>
      <w:tr w:rsidR="00292057" w:rsidRPr="00D969CD" w:rsidTr="00FF3005">
        <w:trPr>
          <w:cantSplit/>
          <w:trHeight w:val="699"/>
          <w:jc w:val="center"/>
        </w:trPr>
        <w:tc>
          <w:tcPr>
            <w:tcW w:w="4608" w:type="dxa"/>
            <w:gridSpan w:val="2"/>
            <w:tcBorders>
              <w:top w:val="single" w:sz="2" w:space="0" w:color="000000"/>
              <w:left w:val="single" w:sz="2" w:space="0" w:color="000000"/>
              <w:bottom w:val="single" w:sz="2" w:space="0" w:color="000000"/>
              <w:right w:val="nil"/>
            </w:tcBorders>
          </w:tcPr>
          <w:p w:rsidR="00292057" w:rsidRDefault="00292057" w:rsidP="002F4C4C">
            <w:pPr>
              <w:tabs>
                <w:tab w:val="left" w:pos="6946"/>
                <w:tab w:val="left" w:pos="8931"/>
              </w:tabs>
              <w:ind w:left="-612"/>
              <w:jc w:val="center"/>
            </w:pPr>
          </w:p>
          <w:p w:rsidR="00292057" w:rsidRPr="00D969CD" w:rsidRDefault="00292057" w:rsidP="00292057">
            <w:pPr>
              <w:tabs>
                <w:tab w:val="left" w:pos="6946"/>
                <w:tab w:val="left" w:pos="8931"/>
              </w:tabs>
              <w:jc w:val="center"/>
            </w:pPr>
            <w:r w:rsidRPr="00D969CD">
              <w:t xml:space="preserve">DEPENSES </w:t>
            </w:r>
            <w:r>
              <w:t xml:space="preserve">                            </w:t>
            </w:r>
            <w:r w:rsidRPr="00D969CD">
              <w:rPr>
                <w:b/>
              </w:rPr>
              <w:t>6</w:t>
            </w:r>
            <w:r>
              <w:rPr>
                <w:b/>
              </w:rPr>
              <w:t>95</w:t>
            </w:r>
            <w:r w:rsidRPr="00D969CD">
              <w:rPr>
                <w:b/>
              </w:rPr>
              <w:t> </w:t>
            </w:r>
            <w:r>
              <w:rPr>
                <w:b/>
              </w:rPr>
              <w:t>517</w:t>
            </w:r>
            <w:r w:rsidRPr="00D969CD">
              <w:rPr>
                <w:b/>
              </w:rPr>
              <w:t>,</w:t>
            </w:r>
            <w:r>
              <w:rPr>
                <w:b/>
              </w:rPr>
              <w:t>94</w:t>
            </w:r>
            <w:r w:rsidRPr="00D969CD">
              <w:rPr>
                <w:b/>
              </w:rPr>
              <w:t xml:space="preserve"> €</w:t>
            </w:r>
          </w:p>
        </w:tc>
        <w:tc>
          <w:tcPr>
            <w:tcW w:w="4915" w:type="dxa"/>
            <w:gridSpan w:val="2"/>
            <w:tcBorders>
              <w:top w:val="single" w:sz="2" w:space="0" w:color="000000"/>
              <w:left w:val="single" w:sz="2" w:space="0" w:color="000000"/>
              <w:bottom w:val="single" w:sz="2" w:space="0" w:color="000000"/>
              <w:right w:val="single" w:sz="2" w:space="0" w:color="000000"/>
            </w:tcBorders>
          </w:tcPr>
          <w:p w:rsidR="00292057" w:rsidRPr="00D969CD" w:rsidRDefault="00292057" w:rsidP="002F4C4C">
            <w:pPr>
              <w:tabs>
                <w:tab w:val="left" w:pos="6946"/>
                <w:tab w:val="left" w:pos="8931"/>
              </w:tabs>
              <w:snapToGrid w:val="0"/>
              <w:jc w:val="center"/>
            </w:pPr>
          </w:p>
          <w:p w:rsidR="00292057" w:rsidRPr="00D969CD" w:rsidRDefault="00292057" w:rsidP="00292057">
            <w:pPr>
              <w:tabs>
                <w:tab w:val="left" w:pos="6946"/>
                <w:tab w:val="left" w:pos="8931"/>
              </w:tabs>
              <w:jc w:val="center"/>
              <w:rPr>
                <w:b/>
                <w:bCs/>
              </w:rPr>
            </w:pPr>
            <w:r w:rsidRPr="00D969CD">
              <w:t>RECETTES</w:t>
            </w:r>
            <w:r>
              <w:t xml:space="preserve">                                 </w:t>
            </w:r>
            <w:r w:rsidRPr="00D969CD">
              <w:rPr>
                <w:b/>
                <w:bCs/>
              </w:rPr>
              <w:t>6</w:t>
            </w:r>
            <w:r>
              <w:rPr>
                <w:b/>
                <w:bCs/>
              </w:rPr>
              <w:t>95 517,94</w:t>
            </w:r>
            <w:r w:rsidRPr="00D969CD">
              <w:rPr>
                <w:b/>
                <w:bCs/>
              </w:rPr>
              <w:t xml:space="preserve"> €</w:t>
            </w:r>
          </w:p>
        </w:tc>
      </w:tr>
      <w:tr w:rsidR="00292057" w:rsidRPr="00D969CD" w:rsidTr="00FF3005">
        <w:trPr>
          <w:cantSplit/>
          <w:trHeight w:val="330"/>
          <w:jc w:val="center"/>
        </w:trPr>
        <w:tc>
          <w:tcPr>
            <w:tcW w:w="3086"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ind w:left="-366" w:firstLine="83"/>
              <w:jc w:val="center"/>
            </w:pPr>
            <w:r>
              <w:t xml:space="preserve">   </w:t>
            </w:r>
            <w:r w:rsidRPr="00D969CD">
              <w:t>Charges à caractère général</w:t>
            </w:r>
          </w:p>
        </w:tc>
        <w:tc>
          <w:tcPr>
            <w:tcW w:w="1522" w:type="dxa"/>
            <w:tcBorders>
              <w:top w:val="nil"/>
              <w:left w:val="single" w:sz="2" w:space="0" w:color="000000"/>
              <w:bottom w:val="single" w:sz="2" w:space="0" w:color="000000"/>
              <w:right w:val="nil"/>
            </w:tcBorders>
          </w:tcPr>
          <w:p w:rsidR="00292057" w:rsidRPr="00D969CD" w:rsidRDefault="00292057" w:rsidP="00292057">
            <w:pPr>
              <w:tabs>
                <w:tab w:val="left" w:pos="6946"/>
                <w:tab w:val="left" w:pos="8931"/>
              </w:tabs>
              <w:snapToGrid w:val="0"/>
              <w:jc w:val="center"/>
            </w:pPr>
            <w:r w:rsidRPr="00D969CD">
              <w:t>1</w:t>
            </w:r>
            <w:r>
              <w:t>32 640,94</w:t>
            </w:r>
            <w:r w:rsidR="00FF3005">
              <w:t xml:space="preserve"> €</w:t>
            </w:r>
          </w:p>
        </w:tc>
        <w:tc>
          <w:tcPr>
            <w:tcW w:w="3333"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Produits Service</w:t>
            </w:r>
          </w:p>
        </w:tc>
        <w:tc>
          <w:tcPr>
            <w:tcW w:w="1582" w:type="dxa"/>
            <w:tcBorders>
              <w:top w:val="nil"/>
              <w:left w:val="single" w:sz="2" w:space="0" w:color="000000"/>
              <w:bottom w:val="single" w:sz="2" w:space="0" w:color="000000"/>
              <w:right w:val="single" w:sz="2" w:space="0" w:color="000000"/>
            </w:tcBorders>
          </w:tcPr>
          <w:p w:rsidR="00292057" w:rsidRPr="00D969CD" w:rsidRDefault="00FF3005" w:rsidP="00344600">
            <w:pPr>
              <w:tabs>
                <w:tab w:val="left" w:pos="6946"/>
                <w:tab w:val="left" w:pos="8931"/>
              </w:tabs>
              <w:snapToGrid w:val="0"/>
              <w:jc w:val="center"/>
            </w:pPr>
            <w:r>
              <w:t xml:space="preserve">  </w:t>
            </w:r>
            <w:r w:rsidR="00292057" w:rsidRPr="00D969CD">
              <w:t>3</w:t>
            </w:r>
            <w:r w:rsidR="00344600">
              <w:t>8</w:t>
            </w:r>
            <w:r w:rsidR="00292057" w:rsidRPr="00D969CD">
              <w:t xml:space="preserve"> </w:t>
            </w:r>
            <w:r w:rsidR="00344600">
              <w:t>000</w:t>
            </w:r>
            <w:r w:rsidR="00292057" w:rsidRPr="00D969CD">
              <w:t>,00</w:t>
            </w:r>
            <w:r>
              <w:t xml:space="preserve"> €</w:t>
            </w:r>
          </w:p>
        </w:tc>
      </w:tr>
      <w:tr w:rsidR="00292057" w:rsidRPr="00D969CD" w:rsidTr="00FF3005">
        <w:trPr>
          <w:cantSplit/>
          <w:jc w:val="center"/>
        </w:trPr>
        <w:tc>
          <w:tcPr>
            <w:tcW w:w="3086"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Charges de personnel</w:t>
            </w:r>
          </w:p>
        </w:tc>
        <w:tc>
          <w:tcPr>
            <w:tcW w:w="1522"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t>235 000</w:t>
            </w:r>
            <w:r w:rsidRPr="00D969CD">
              <w:t>,00</w:t>
            </w:r>
            <w:r w:rsidR="00FF3005">
              <w:t xml:space="preserve"> €</w:t>
            </w:r>
          </w:p>
        </w:tc>
        <w:tc>
          <w:tcPr>
            <w:tcW w:w="3333"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Impôts et Taxes</w:t>
            </w:r>
          </w:p>
        </w:tc>
        <w:tc>
          <w:tcPr>
            <w:tcW w:w="1582" w:type="dxa"/>
            <w:tcBorders>
              <w:top w:val="nil"/>
              <w:left w:val="single" w:sz="2" w:space="0" w:color="000000"/>
              <w:bottom w:val="single" w:sz="2" w:space="0" w:color="000000"/>
              <w:right w:val="single" w:sz="2" w:space="0" w:color="000000"/>
            </w:tcBorders>
          </w:tcPr>
          <w:p w:rsidR="00292057" w:rsidRPr="00D969CD" w:rsidRDefault="00FF3005" w:rsidP="002F4C4C">
            <w:pPr>
              <w:tabs>
                <w:tab w:val="left" w:pos="6946"/>
                <w:tab w:val="left" w:pos="8931"/>
              </w:tabs>
              <w:snapToGrid w:val="0"/>
              <w:jc w:val="center"/>
            </w:pPr>
            <w:r>
              <w:t xml:space="preserve">  </w:t>
            </w:r>
            <w:r w:rsidR="00344600">
              <w:t>98 012</w:t>
            </w:r>
            <w:r w:rsidR="00292057" w:rsidRPr="00D969CD">
              <w:t>,00</w:t>
            </w:r>
            <w:r>
              <w:t xml:space="preserve"> €</w:t>
            </w:r>
          </w:p>
        </w:tc>
      </w:tr>
      <w:tr w:rsidR="00292057" w:rsidRPr="00D969CD" w:rsidTr="00FF3005">
        <w:trPr>
          <w:cantSplit/>
          <w:jc w:val="center"/>
        </w:trPr>
        <w:tc>
          <w:tcPr>
            <w:tcW w:w="3086"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Autres charges</w:t>
            </w:r>
          </w:p>
        </w:tc>
        <w:tc>
          <w:tcPr>
            <w:tcW w:w="1522" w:type="dxa"/>
            <w:tcBorders>
              <w:top w:val="nil"/>
              <w:left w:val="single" w:sz="2" w:space="0" w:color="000000"/>
              <w:bottom w:val="single" w:sz="2" w:space="0" w:color="000000"/>
              <w:right w:val="nil"/>
            </w:tcBorders>
          </w:tcPr>
          <w:p w:rsidR="00292057" w:rsidRPr="00D969CD" w:rsidRDefault="00344600" w:rsidP="00344600">
            <w:pPr>
              <w:tabs>
                <w:tab w:val="left" w:pos="6946"/>
                <w:tab w:val="left" w:pos="8931"/>
              </w:tabs>
              <w:snapToGrid w:val="0"/>
              <w:jc w:val="center"/>
            </w:pPr>
            <w:r>
              <w:t>105 599</w:t>
            </w:r>
            <w:r w:rsidR="00292057" w:rsidRPr="00D969CD">
              <w:t>,00</w:t>
            </w:r>
            <w:r w:rsidR="00FF3005">
              <w:t xml:space="preserve"> €</w:t>
            </w:r>
          </w:p>
        </w:tc>
        <w:tc>
          <w:tcPr>
            <w:tcW w:w="3333"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Dotation</w:t>
            </w:r>
          </w:p>
        </w:tc>
        <w:tc>
          <w:tcPr>
            <w:tcW w:w="1582" w:type="dxa"/>
            <w:tcBorders>
              <w:top w:val="nil"/>
              <w:left w:val="single" w:sz="2" w:space="0" w:color="000000"/>
              <w:bottom w:val="single" w:sz="2" w:space="0" w:color="000000"/>
              <w:right w:val="single" w:sz="2" w:space="0" w:color="000000"/>
            </w:tcBorders>
          </w:tcPr>
          <w:p w:rsidR="00292057" w:rsidRPr="00D969CD" w:rsidRDefault="00292057" w:rsidP="00344600">
            <w:pPr>
              <w:tabs>
                <w:tab w:val="left" w:pos="6946"/>
                <w:tab w:val="left" w:pos="8931"/>
              </w:tabs>
              <w:snapToGrid w:val="0"/>
              <w:jc w:val="center"/>
            </w:pPr>
            <w:r w:rsidRPr="00D969CD">
              <w:t>1</w:t>
            </w:r>
            <w:r w:rsidR="00344600">
              <w:t>29 277</w:t>
            </w:r>
            <w:r w:rsidRPr="00D969CD">
              <w:t>,00</w:t>
            </w:r>
            <w:r w:rsidR="00FF3005">
              <w:t xml:space="preserve"> €</w:t>
            </w:r>
          </w:p>
        </w:tc>
      </w:tr>
      <w:tr w:rsidR="00292057" w:rsidRPr="00D969CD" w:rsidTr="00FF3005">
        <w:trPr>
          <w:cantSplit/>
          <w:jc w:val="center"/>
        </w:trPr>
        <w:tc>
          <w:tcPr>
            <w:tcW w:w="3086"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Charges financières</w:t>
            </w:r>
          </w:p>
        </w:tc>
        <w:tc>
          <w:tcPr>
            <w:tcW w:w="1522" w:type="dxa"/>
            <w:tcBorders>
              <w:top w:val="nil"/>
              <w:left w:val="single" w:sz="2" w:space="0" w:color="000000"/>
              <w:bottom w:val="single" w:sz="2" w:space="0" w:color="000000"/>
              <w:right w:val="nil"/>
            </w:tcBorders>
          </w:tcPr>
          <w:p w:rsidR="00292057" w:rsidRPr="00D969CD" w:rsidRDefault="00292057" w:rsidP="00344600">
            <w:pPr>
              <w:tabs>
                <w:tab w:val="left" w:pos="6946"/>
                <w:tab w:val="left" w:pos="8931"/>
              </w:tabs>
              <w:snapToGrid w:val="0"/>
              <w:jc w:val="center"/>
            </w:pPr>
            <w:r w:rsidRPr="00D969CD">
              <w:t xml:space="preserve">  </w:t>
            </w:r>
            <w:r w:rsidR="00344600">
              <w:t>13 775</w:t>
            </w:r>
            <w:r w:rsidRPr="00D969CD">
              <w:t>,00</w:t>
            </w:r>
            <w:r w:rsidR="00FF3005">
              <w:t xml:space="preserve"> €</w:t>
            </w:r>
          </w:p>
        </w:tc>
        <w:tc>
          <w:tcPr>
            <w:tcW w:w="3333"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Produit gestion Courante</w:t>
            </w:r>
          </w:p>
        </w:tc>
        <w:tc>
          <w:tcPr>
            <w:tcW w:w="1582" w:type="dxa"/>
            <w:tcBorders>
              <w:top w:val="nil"/>
              <w:left w:val="single" w:sz="2" w:space="0" w:color="000000"/>
              <w:bottom w:val="single" w:sz="2" w:space="0" w:color="000000"/>
              <w:right w:val="single" w:sz="2" w:space="0" w:color="000000"/>
            </w:tcBorders>
          </w:tcPr>
          <w:p w:rsidR="00292057" w:rsidRPr="00D969CD" w:rsidRDefault="00292057" w:rsidP="00344600">
            <w:pPr>
              <w:tabs>
                <w:tab w:val="left" w:pos="6946"/>
                <w:tab w:val="left" w:pos="8931"/>
              </w:tabs>
              <w:snapToGrid w:val="0"/>
              <w:jc w:val="center"/>
            </w:pPr>
            <w:r w:rsidRPr="00D969CD">
              <w:t xml:space="preserve">  </w:t>
            </w:r>
            <w:r w:rsidR="00344600">
              <w:t>33</w:t>
            </w:r>
            <w:r w:rsidRPr="00D969CD">
              <w:t xml:space="preserve"> 000,00</w:t>
            </w:r>
            <w:r w:rsidR="00FF3005">
              <w:t xml:space="preserve"> €</w:t>
            </w:r>
          </w:p>
        </w:tc>
      </w:tr>
      <w:tr w:rsidR="00344600" w:rsidRPr="00D969CD" w:rsidTr="00FF3005">
        <w:trPr>
          <w:cantSplit/>
          <w:jc w:val="center"/>
        </w:trPr>
        <w:tc>
          <w:tcPr>
            <w:tcW w:w="3086" w:type="dxa"/>
            <w:tcBorders>
              <w:top w:val="nil"/>
              <w:left w:val="single" w:sz="2" w:space="0" w:color="000000"/>
              <w:bottom w:val="single" w:sz="4" w:space="0" w:color="auto"/>
              <w:right w:val="nil"/>
            </w:tcBorders>
          </w:tcPr>
          <w:p w:rsidR="00344600" w:rsidRPr="00D969CD" w:rsidRDefault="00344600" w:rsidP="002F4C4C">
            <w:pPr>
              <w:tabs>
                <w:tab w:val="left" w:pos="6946"/>
                <w:tab w:val="left" w:pos="8931"/>
              </w:tabs>
              <w:snapToGrid w:val="0"/>
              <w:jc w:val="center"/>
            </w:pPr>
            <w:r>
              <w:t>Dotations aux provisions</w:t>
            </w:r>
          </w:p>
        </w:tc>
        <w:tc>
          <w:tcPr>
            <w:tcW w:w="1522" w:type="dxa"/>
            <w:tcBorders>
              <w:top w:val="nil"/>
              <w:left w:val="single" w:sz="2" w:space="0" w:color="000000"/>
              <w:bottom w:val="single" w:sz="4" w:space="0" w:color="auto"/>
              <w:right w:val="nil"/>
            </w:tcBorders>
          </w:tcPr>
          <w:p w:rsidR="00344600" w:rsidRPr="00D969CD" w:rsidRDefault="00344600" w:rsidP="00FF3005">
            <w:pPr>
              <w:tabs>
                <w:tab w:val="left" w:pos="6946"/>
                <w:tab w:val="left" w:pos="8931"/>
              </w:tabs>
              <w:snapToGrid w:val="0"/>
              <w:jc w:val="center"/>
            </w:pPr>
            <w:r>
              <w:t xml:space="preserve">   1 000,00</w:t>
            </w:r>
            <w:r w:rsidRPr="00D969CD">
              <w:t xml:space="preserve"> </w:t>
            </w:r>
            <w:r w:rsidR="00FF3005">
              <w:t>€</w:t>
            </w:r>
            <w:r w:rsidRPr="00D969CD">
              <w:t xml:space="preserve">   </w:t>
            </w:r>
          </w:p>
        </w:tc>
        <w:tc>
          <w:tcPr>
            <w:tcW w:w="3333" w:type="dxa"/>
            <w:tcBorders>
              <w:top w:val="nil"/>
              <w:left w:val="single" w:sz="2" w:space="0" w:color="000000"/>
              <w:bottom w:val="single" w:sz="4" w:space="0" w:color="auto"/>
              <w:right w:val="nil"/>
            </w:tcBorders>
          </w:tcPr>
          <w:p w:rsidR="00344600" w:rsidRPr="00D969CD" w:rsidRDefault="00344600" w:rsidP="002F4C4C">
            <w:pPr>
              <w:tabs>
                <w:tab w:val="left" w:pos="6946"/>
                <w:tab w:val="left" w:pos="8931"/>
              </w:tabs>
              <w:snapToGrid w:val="0"/>
              <w:jc w:val="center"/>
            </w:pPr>
            <w:r>
              <w:t>Fiscalité locale</w:t>
            </w:r>
          </w:p>
        </w:tc>
        <w:tc>
          <w:tcPr>
            <w:tcW w:w="1582" w:type="dxa"/>
            <w:tcBorders>
              <w:top w:val="nil"/>
              <w:left w:val="single" w:sz="2" w:space="0" w:color="000000"/>
              <w:bottom w:val="single" w:sz="4" w:space="0" w:color="auto"/>
              <w:right w:val="single" w:sz="2" w:space="0" w:color="000000"/>
            </w:tcBorders>
          </w:tcPr>
          <w:p w:rsidR="00344600" w:rsidRPr="00D969CD" w:rsidRDefault="00344600" w:rsidP="002F4C4C">
            <w:pPr>
              <w:tabs>
                <w:tab w:val="left" w:pos="6946"/>
                <w:tab w:val="left" w:pos="8931"/>
              </w:tabs>
              <w:snapToGrid w:val="0"/>
              <w:jc w:val="center"/>
            </w:pPr>
            <w:r>
              <w:t>302 796,00</w:t>
            </w:r>
            <w:r w:rsidR="00FF3005">
              <w:t xml:space="preserve"> €</w:t>
            </w:r>
          </w:p>
        </w:tc>
      </w:tr>
      <w:tr w:rsidR="00344600" w:rsidRPr="00D969CD" w:rsidTr="00FF3005">
        <w:trPr>
          <w:cantSplit/>
          <w:jc w:val="center"/>
        </w:trPr>
        <w:tc>
          <w:tcPr>
            <w:tcW w:w="3086" w:type="dxa"/>
            <w:tcBorders>
              <w:top w:val="single" w:sz="4" w:space="0" w:color="auto"/>
              <w:left w:val="single" w:sz="4" w:space="0" w:color="auto"/>
              <w:bottom w:val="single" w:sz="4" w:space="0" w:color="auto"/>
              <w:right w:val="single" w:sz="2" w:space="0" w:color="000000"/>
            </w:tcBorders>
            <w:shd w:val="clear" w:color="auto" w:fill="FFFFFF"/>
          </w:tcPr>
          <w:p w:rsidR="00344600" w:rsidRPr="00D969CD" w:rsidRDefault="00344600" w:rsidP="002F4C4C">
            <w:pPr>
              <w:tabs>
                <w:tab w:val="left" w:pos="6946"/>
                <w:tab w:val="left" w:pos="8931"/>
              </w:tabs>
              <w:snapToGrid w:val="0"/>
              <w:jc w:val="center"/>
            </w:pPr>
            <w:r w:rsidRPr="00D969CD">
              <w:t>Transferts entre section</w:t>
            </w:r>
          </w:p>
        </w:tc>
        <w:tc>
          <w:tcPr>
            <w:tcW w:w="1522" w:type="dxa"/>
            <w:tcBorders>
              <w:top w:val="single" w:sz="4" w:space="0" w:color="auto"/>
              <w:left w:val="single" w:sz="2" w:space="0" w:color="000000"/>
              <w:bottom w:val="single" w:sz="4" w:space="0" w:color="auto"/>
              <w:right w:val="single" w:sz="2" w:space="0" w:color="000000"/>
            </w:tcBorders>
            <w:shd w:val="clear" w:color="auto" w:fill="FFFFFF"/>
          </w:tcPr>
          <w:p w:rsidR="00344600" w:rsidRPr="00D969CD" w:rsidRDefault="00344600" w:rsidP="00344600">
            <w:pPr>
              <w:tabs>
                <w:tab w:val="left" w:pos="6946"/>
                <w:tab w:val="left" w:pos="8931"/>
              </w:tabs>
              <w:snapToGrid w:val="0"/>
              <w:jc w:val="center"/>
            </w:pPr>
            <w:r>
              <w:t xml:space="preserve">  10 265,00</w:t>
            </w:r>
            <w:r w:rsidR="00FF3005">
              <w:t xml:space="preserve"> €</w:t>
            </w:r>
          </w:p>
        </w:tc>
        <w:tc>
          <w:tcPr>
            <w:tcW w:w="3333" w:type="dxa"/>
            <w:tcBorders>
              <w:top w:val="single" w:sz="4" w:space="0" w:color="auto"/>
              <w:left w:val="single" w:sz="2" w:space="0" w:color="000000"/>
              <w:bottom w:val="single" w:sz="4" w:space="0" w:color="auto"/>
              <w:right w:val="single" w:sz="2" w:space="0" w:color="000000"/>
            </w:tcBorders>
          </w:tcPr>
          <w:p w:rsidR="00344600" w:rsidRPr="00D969CD" w:rsidRDefault="00344600" w:rsidP="002F4C4C">
            <w:pPr>
              <w:tabs>
                <w:tab w:val="left" w:pos="6946"/>
                <w:tab w:val="left" w:pos="8931"/>
              </w:tabs>
              <w:snapToGrid w:val="0"/>
              <w:jc w:val="center"/>
            </w:pPr>
          </w:p>
        </w:tc>
        <w:tc>
          <w:tcPr>
            <w:tcW w:w="1582" w:type="dxa"/>
            <w:tcBorders>
              <w:top w:val="single" w:sz="4" w:space="0" w:color="auto"/>
              <w:left w:val="single" w:sz="2" w:space="0" w:color="000000"/>
              <w:bottom w:val="single" w:sz="4" w:space="0" w:color="auto"/>
              <w:right w:val="single" w:sz="4" w:space="0" w:color="auto"/>
            </w:tcBorders>
          </w:tcPr>
          <w:p w:rsidR="00344600" w:rsidRPr="00D969CD" w:rsidRDefault="00344600" w:rsidP="002F4C4C">
            <w:pPr>
              <w:tabs>
                <w:tab w:val="left" w:pos="6946"/>
                <w:tab w:val="left" w:pos="8931"/>
              </w:tabs>
              <w:snapToGrid w:val="0"/>
              <w:jc w:val="center"/>
            </w:pPr>
          </w:p>
        </w:tc>
      </w:tr>
      <w:tr w:rsidR="00344600" w:rsidRPr="00D969CD" w:rsidTr="00FF3005">
        <w:trPr>
          <w:cantSplit/>
          <w:jc w:val="center"/>
        </w:trPr>
        <w:tc>
          <w:tcPr>
            <w:tcW w:w="3086" w:type="dxa"/>
            <w:tcBorders>
              <w:top w:val="single" w:sz="4" w:space="0" w:color="auto"/>
              <w:left w:val="single" w:sz="4" w:space="0" w:color="auto"/>
              <w:bottom w:val="single" w:sz="4" w:space="0" w:color="auto"/>
              <w:right w:val="single" w:sz="2" w:space="0" w:color="000000"/>
            </w:tcBorders>
            <w:shd w:val="clear" w:color="auto" w:fill="FFFFFF"/>
          </w:tcPr>
          <w:p w:rsidR="00344600" w:rsidRPr="00D969CD" w:rsidRDefault="00344600" w:rsidP="002F4C4C">
            <w:pPr>
              <w:tabs>
                <w:tab w:val="left" w:pos="6946"/>
                <w:tab w:val="left" w:pos="8931"/>
              </w:tabs>
              <w:snapToGrid w:val="0"/>
              <w:jc w:val="center"/>
            </w:pPr>
            <w:r w:rsidRPr="00D969CD">
              <w:t>Virement section investissement</w:t>
            </w:r>
          </w:p>
        </w:tc>
        <w:tc>
          <w:tcPr>
            <w:tcW w:w="1522" w:type="dxa"/>
            <w:tcBorders>
              <w:top w:val="single" w:sz="4" w:space="0" w:color="auto"/>
              <w:left w:val="single" w:sz="2" w:space="0" w:color="000000"/>
              <w:bottom w:val="single" w:sz="4" w:space="0" w:color="auto"/>
              <w:right w:val="single" w:sz="2" w:space="0" w:color="000000"/>
            </w:tcBorders>
            <w:shd w:val="clear" w:color="auto" w:fill="FFFFFF"/>
          </w:tcPr>
          <w:p w:rsidR="00344600" w:rsidRPr="00D969CD" w:rsidRDefault="00344600" w:rsidP="00344600">
            <w:pPr>
              <w:tabs>
                <w:tab w:val="left" w:pos="6946"/>
                <w:tab w:val="left" w:pos="8931"/>
              </w:tabs>
              <w:snapToGrid w:val="0"/>
              <w:jc w:val="center"/>
            </w:pPr>
            <w:r>
              <w:t>197 238,00</w:t>
            </w:r>
            <w:r w:rsidR="00FF3005">
              <w:t xml:space="preserve"> €</w:t>
            </w:r>
          </w:p>
        </w:tc>
        <w:tc>
          <w:tcPr>
            <w:tcW w:w="3333" w:type="dxa"/>
            <w:tcBorders>
              <w:top w:val="single" w:sz="4" w:space="0" w:color="auto"/>
              <w:left w:val="single" w:sz="2" w:space="0" w:color="000000"/>
              <w:bottom w:val="single" w:sz="4" w:space="0" w:color="auto"/>
              <w:right w:val="single" w:sz="2" w:space="0" w:color="000000"/>
            </w:tcBorders>
          </w:tcPr>
          <w:p w:rsidR="00344600" w:rsidRPr="00D969CD" w:rsidRDefault="00FF3005" w:rsidP="002F4C4C">
            <w:pPr>
              <w:tabs>
                <w:tab w:val="left" w:pos="6946"/>
                <w:tab w:val="left" w:pos="8931"/>
              </w:tabs>
              <w:snapToGrid w:val="0"/>
              <w:jc w:val="center"/>
            </w:pPr>
            <w:r>
              <w:t>Excédent 2024</w:t>
            </w:r>
          </w:p>
        </w:tc>
        <w:tc>
          <w:tcPr>
            <w:tcW w:w="1582" w:type="dxa"/>
            <w:tcBorders>
              <w:top w:val="single" w:sz="4" w:space="0" w:color="auto"/>
              <w:left w:val="single" w:sz="2" w:space="0" w:color="000000"/>
              <w:bottom w:val="single" w:sz="4" w:space="0" w:color="auto"/>
              <w:right w:val="single" w:sz="4" w:space="0" w:color="auto"/>
            </w:tcBorders>
          </w:tcPr>
          <w:p w:rsidR="00344600" w:rsidRPr="00D969CD" w:rsidRDefault="00344600" w:rsidP="002F4C4C">
            <w:pPr>
              <w:tabs>
                <w:tab w:val="left" w:pos="6946"/>
                <w:tab w:val="left" w:pos="8931"/>
              </w:tabs>
              <w:snapToGrid w:val="0"/>
              <w:jc w:val="center"/>
            </w:pPr>
            <w:r>
              <w:t>94 432,94</w:t>
            </w:r>
            <w:r w:rsidR="00FF3005">
              <w:t xml:space="preserve"> €</w:t>
            </w:r>
          </w:p>
        </w:tc>
      </w:tr>
    </w:tbl>
    <w:p w:rsidR="00FF3005" w:rsidRPr="007D04C5" w:rsidRDefault="00FF3005" w:rsidP="007D04C5">
      <w:pPr>
        <w:rPr>
          <w:sz w:val="12"/>
          <w:szCs w:val="12"/>
          <w:lang w:eastAsia="ar-SA"/>
        </w:rPr>
      </w:pPr>
    </w:p>
    <w:p w:rsidR="00292057" w:rsidRPr="00D969CD" w:rsidRDefault="00292057" w:rsidP="00292057">
      <w:pPr>
        <w:jc w:val="center"/>
        <w:rPr>
          <w:b/>
          <w:bCs/>
          <w:szCs w:val="20"/>
          <w:u w:val="single"/>
        </w:rPr>
      </w:pPr>
      <w:r w:rsidRPr="00D969CD">
        <w:rPr>
          <w:b/>
          <w:bCs/>
          <w:szCs w:val="20"/>
          <w:u w:val="single"/>
        </w:rPr>
        <w:t>Section Investissement</w:t>
      </w:r>
    </w:p>
    <w:tbl>
      <w:tblPr>
        <w:tblW w:w="10699" w:type="dxa"/>
        <w:jc w:val="center"/>
        <w:tblLayout w:type="fixed"/>
        <w:tblLook w:val="00A0"/>
      </w:tblPr>
      <w:tblGrid>
        <w:gridCol w:w="3521"/>
        <w:gridCol w:w="1615"/>
        <w:gridCol w:w="3827"/>
        <w:gridCol w:w="1736"/>
      </w:tblGrid>
      <w:tr w:rsidR="00292057" w:rsidTr="0081119C">
        <w:trPr>
          <w:cantSplit/>
          <w:jc w:val="center"/>
        </w:trPr>
        <w:tc>
          <w:tcPr>
            <w:tcW w:w="5136" w:type="dxa"/>
            <w:gridSpan w:val="2"/>
            <w:tcBorders>
              <w:top w:val="single" w:sz="2" w:space="0" w:color="000000"/>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p>
          <w:p w:rsidR="00292057" w:rsidRPr="00D969CD" w:rsidRDefault="00292057" w:rsidP="00FF3005">
            <w:pPr>
              <w:tabs>
                <w:tab w:val="left" w:pos="6946"/>
                <w:tab w:val="left" w:pos="8931"/>
              </w:tabs>
              <w:jc w:val="center"/>
              <w:rPr>
                <w:b/>
                <w:bCs/>
              </w:rPr>
            </w:pPr>
            <w:r w:rsidRPr="00D969CD">
              <w:t xml:space="preserve">DEPENSES </w:t>
            </w:r>
            <w:r>
              <w:t xml:space="preserve">   </w:t>
            </w:r>
            <w:r w:rsidRPr="00D969CD">
              <w:t xml:space="preserve">               </w:t>
            </w:r>
            <w:r>
              <w:t xml:space="preserve">         </w:t>
            </w:r>
            <w:r w:rsidRPr="00D969CD">
              <w:t xml:space="preserve">          </w:t>
            </w:r>
            <w:r w:rsidR="00FF3005" w:rsidRPr="00FF3005">
              <w:rPr>
                <w:b/>
              </w:rPr>
              <w:t>732 191,00</w:t>
            </w:r>
            <w:r w:rsidRPr="00FF3005">
              <w:rPr>
                <w:b/>
                <w:bCs/>
              </w:rPr>
              <w:t xml:space="preserve"> €</w:t>
            </w:r>
          </w:p>
        </w:tc>
        <w:tc>
          <w:tcPr>
            <w:tcW w:w="5563" w:type="dxa"/>
            <w:gridSpan w:val="2"/>
            <w:tcBorders>
              <w:top w:val="single" w:sz="2" w:space="0" w:color="000000"/>
              <w:left w:val="single" w:sz="2" w:space="0" w:color="000000"/>
              <w:bottom w:val="single" w:sz="2" w:space="0" w:color="000000"/>
              <w:right w:val="single" w:sz="2" w:space="0" w:color="000000"/>
            </w:tcBorders>
          </w:tcPr>
          <w:p w:rsidR="00292057" w:rsidRPr="00D969CD" w:rsidRDefault="00292057" w:rsidP="002F4C4C">
            <w:pPr>
              <w:tabs>
                <w:tab w:val="left" w:pos="6946"/>
                <w:tab w:val="left" w:pos="8931"/>
              </w:tabs>
              <w:snapToGrid w:val="0"/>
              <w:jc w:val="center"/>
            </w:pPr>
          </w:p>
          <w:p w:rsidR="00292057" w:rsidRPr="00D969CD" w:rsidRDefault="00292057" w:rsidP="00FF3005">
            <w:pPr>
              <w:tabs>
                <w:tab w:val="left" w:pos="6946"/>
                <w:tab w:val="left" w:pos="8931"/>
              </w:tabs>
              <w:jc w:val="center"/>
              <w:rPr>
                <w:b/>
                <w:bCs/>
              </w:rPr>
            </w:pPr>
            <w:r w:rsidRPr="00D969CD">
              <w:t xml:space="preserve">RECETTES                              </w:t>
            </w:r>
            <w:r>
              <w:t xml:space="preserve">       </w:t>
            </w:r>
            <w:r w:rsidRPr="00D969CD">
              <w:t xml:space="preserve">     </w:t>
            </w:r>
            <w:r w:rsidR="00FF3005" w:rsidRPr="00FF3005">
              <w:rPr>
                <w:b/>
              </w:rPr>
              <w:t>732 191,00</w:t>
            </w:r>
            <w:r w:rsidR="00FF3005">
              <w:t xml:space="preserve"> </w:t>
            </w:r>
            <w:r w:rsidRPr="00D969CD">
              <w:rPr>
                <w:b/>
                <w:bCs/>
              </w:rPr>
              <w:t>€</w:t>
            </w:r>
          </w:p>
        </w:tc>
      </w:tr>
      <w:tr w:rsidR="00292057" w:rsidTr="0081119C">
        <w:trPr>
          <w:cantSplit/>
          <w:jc w:val="center"/>
        </w:trPr>
        <w:tc>
          <w:tcPr>
            <w:tcW w:w="3521" w:type="dxa"/>
            <w:tcBorders>
              <w:top w:val="nil"/>
              <w:left w:val="single" w:sz="2" w:space="0" w:color="000000"/>
              <w:bottom w:val="single" w:sz="2" w:space="0" w:color="000000"/>
              <w:right w:val="nil"/>
            </w:tcBorders>
          </w:tcPr>
          <w:p w:rsidR="00292057" w:rsidRPr="00D969CD" w:rsidRDefault="0081119C" w:rsidP="002F4C4C">
            <w:pPr>
              <w:tabs>
                <w:tab w:val="left" w:pos="6946"/>
                <w:tab w:val="left" w:pos="8931"/>
              </w:tabs>
              <w:snapToGrid w:val="0"/>
              <w:jc w:val="center"/>
            </w:pPr>
            <w:bookmarkStart w:id="0" w:name="_Hlk388691368"/>
            <w:r>
              <w:t>O</w:t>
            </w:r>
            <w:r w:rsidR="00292057" w:rsidRPr="00D969CD">
              <w:t>pérations équipement</w:t>
            </w:r>
          </w:p>
        </w:tc>
        <w:tc>
          <w:tcPr>
            <w:tcW w:w="1615" w:type="dxa"/>
            <w:tcBorders>
              <w:top w:val="nil"/>
              <w:left w:val="single" w:sz="2" w:space="0" w:color="000000"/>
              <w:bottom w:val="single" w:sz="2" w:space="0" w:color="000000"/>
              <w:right w:val="nil"/>
            </w:tcBorders>
          </w:tcPr>
          <w:p w:rsidR="00292057" w:rsidRPr="00D969CD" w:rsidRDefault="00FF3005" w:rsidP="002F4C4C">
            <w:pPr>
              <w:snapToGrid w:val="0"/>
              <w:jc w:val="center"/>
            </w:pPr>
            <w:r>
              <w:t>206 802</w:t>
            </w:r>
            <w:r w:rsidR="00292057" w:rsidRPr="00D969CD">
              <w:t>,00</w:t>
            </w:r>
            <w:r>
              <w:t xml:space="preserve"> €</w:t>
            </w:r>
          </w:p>
        </w:tc>
        <w:tc>
          <w:tcPr>
            <w:tcW w:w="3827"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Dotations, fonds divers</w:t>
            </w:r>
          </w:p>
        </w:tc>
        <w:tc>
          <w:tcPr>
            <w:tcW w:w="1736" w:type="dxa"/>
            <w:tcBorders>
              <w:top w:val="nil"/>
              <w:left w:val="single" w:sz="2" w:space="0" w:color="000000"/>
              <w:bottom w:val="single" w:sz="2" w:space="0" w:color="000000"/>
              <w:right w:val="single" w:sz="2" w:space="0" w:color="000000"/>
            </w:tcBorders>
          </w:tcPr>
          <w:p w:rsidR="00292057" w:rsidRPr="00D969CD" w:rsidRDefault="0081119C" w:rsidP="002F4C4C">
            <w:pPr>
              <w:snapToGrid w:val="0"/>
              <w:jc w:val="center"/>
            </w:pPr>
            <w:r>
              <w:t>227 048,72 €</w:t>
            </w:r>
          </w:p>
        </w:tc>
      </w:tr>
      <w:tr w:rsidR="00292057" w:rsidTr="0081119C">
        <w:trPr>
          <w:cantSplit/>
          <w:jc w:val="center"/>
        </w:trPr>
        <w:tc>
          <w:tcPr>
            <w:tcW w:w="3521"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r w:rsidRPr="00D969CD">
              <w:t>Emprunts et dettes assimilées</w:t>
            </w:r>
          </w:p>
        </w:tc>
        <w:tc>
          <w:tcPr>
            <w:tcW w:w="1615" w:type="dxa"/>
            <w:tcBorders>
              <w:top w:val="nil"/>
              <w:left w:val="single" w:sz="2" w:space="0" w:color="000000"/>
              <w:bottom w:val="single" w:sz="2" w:space="0" w:color="000000"/>
              <w:right w:val="nil"/>
            </w:tcBorders>
          </w:tcPr>
          <w:p w:rsidR="00292057" w:rsidRPr="00D969CD" w:rsidRDefault="00292057" w:rsidP="00FF3005">
            <w:pPr>
              <w:snapToGrid w:val="0"/>
              <w:jc w:val="center"/>
            </w:pPr>
            <w:r w:rsidRPr="00D969CD">
              <w:t xml:space="preserve">  </w:t>
            </w:r>
            <w:r w:rsidR="00FF3005">
              <w:t>71 673,00 €</w:t>
            </w:r>
            <w:r w:rsidRPr="00D969CD">
              <w:t xml:space="preserve"> </w:t>
            </w:r>
          </w:p>
        </w:tc>
        <w:tc>
          <w:tcPr>
            <w:tcW w:w="3827" w:type="dxa"/>
            <w:tcBorders>
              <w:top w:val="nil"/>
              <w:left w:val="single" w:sz="2" w:space="0" w:color="000000"/>
              <w:bottom w:val="single" w:sz="2" w:space="0" w:color="000000"/>
              <w:right w:val="nil"/>
            </w:tcBorders>
          </w:tcPr>
          <w:p w:rsidR="00292057" w:rsidRPr="00D969CD" w:rsidRDefault="0081119C" w:rsidP="002F4C4C">
            <w:pPr>
              <w:tabs>
                <w:tab w:val="left" w:pos="6946"/>
                <w:tab w:val="left" w:pos="8931"/>
              </w:tabs>
              <w:snapToGrid w:val="0"/>
              <w:jc w:val="center"/>
            </w:pPr>
            <w:r>
              <w:t>Autofinancement du  f</w:t>
            </w:r>
            <w:r w:rsidR="00292057" w:rsidRPr="00D969CD">
              <w:t>onctionnement</w:t>
            </w:r>
          </w:p>
        </w:tc>
        <w:tc>
          <w:tcPr>
            <w:tcW w:w="1736" w:type="dxa"/>
            <w:tcBorders>
              <w:top w:val="nil"/>
              <w:left w:val="single" w:sz="2" w:space="0" w:color="000000"/>
              <w:bottom w:val="single" w:sz="2" w:space="0" w:color="000000"/>
              <w:right w:val="single" w:sz="2" w:space="0" w:color="000000"/>
            </w:tcBorders>
          </w:tcPr>
          <w:p w:rsidR="00292057" w:rsidRPr="00D969CD" w:rsidRDefault="0081119C" w:rsidP="002F4C4C">
            <w:pPr>
              <w:snapToGrid w:val="0"/>
              <w:jc w:val="center"/>
            </w:pPr>
            <w:r>
              <w:t>197 238</w:t>
            </w:r>
            <w:r w:rsidR="00292057" w:rsidRPr="00D969CD">
              <w:t>,00</w:t>
            </w:r>
            <w:r>
              <w:t xml:space="preserve"> €</w:t>
            </w:r>
          </w:p>
        </w:tc>
      </w:tr>
      <w:tr w:rsidR="00292057" w:rsidTr="0081119C">
        <w:trPr>
          <w:cantSplit/>
          <w:jc w:val="center"/>
        </w:trPr>
        <w:tc>
          <w:tcPr>
            <w:tcW w:w="3521"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pPr>
          </w:p>
        </w:tc>
        <w:tc>
          <w:tcPr>
            <w:tcW w:w="1615" w:type="dxa"/>
            <w:tcBorders>
              <w:top w:val="nil"/>
              <w:left w:val="single" w:sz="2" w:space="0" w:color="000000"/>
              <w:bottom w:val="single" w:sz="2" w:space="0" w:color="000000"/>
              <w:right w:val="nil"/>
            </w:tcBorders>
          </w:tcPr>
          <w:p w:rsidR="00292057" w:rsidRPr="00D969CD" w:rsidRDefault="00292057" w:rsidP="002F4C4C">
            <w:pPr>
              <w:snapToGrid w:val="0"/>
              <w:jc w:val="center"/>
            </w:pPr>
          </w:p>
        </w:tc>
        <w:tc>
          <w:tcPr>
            <w:tcW w:w="3827" w:type="dxa"/>
            <w:tcBorders>
              <w:top w:val="nil"/>
              <w:left w:val="single" w:sz="2" w:space="0" w:color="000000"/>
              <w:bottom w:val="single" w:sz="2" w:space="0" w:color="000000"/>
              <w:right w:val="nil"/>
            </w:tcBorders>
          </w:tcPr>
          <w:p w:rsidR="00292057" w:rsidRPr="00D969CD" w:rsidRDefault="0081119C" w:rsidP="002F4C4C">
            <w:pPr>
              <w:tabs>
                <w:tab w:val="left" w:pos="6946"/>
                <w:tab w:val="left" w:pos="8931"/>
              </w:tabs>
              <w:snapToGrid w:val="0"/>
              <w:jc w:val="center"/>
            </w:pPr>
            <w:r>
              <w:t>Amortissements transférés</w:t>
            </w:r>
          </w:p>
        </w:tc>
        <w:tc>
          <w:tcPr>
            <w:tcW w:w="1736" w:type="dxa"/>
            <w:tcBorders>
              <w:top w:val="nil"/>
              <w:left w:val="single" w:sz="2" w:space="0" w:color="000000"/>
              <w:bottom w:val="single" w:sz="2" w:space="0" w:color="000000"/>
              <w:right w:val="single" w:sz="2" w:space="0" w:color="000000"/>
            </w:tcBorders>
          </w:tcPr>
          <w:p w:rsidR="00292057" w:rsidRPr="00D969CD" w:rsidRDefault="0081119C" w:rsidP="002F4C4C">
            <w:pPr>
              <w:snapToGrid w:val="0"/>
              <w:jc w:val="center"/>
            </w:pPr>
            <w:r>
              <w:t>10 265,00 €</w:t>
            </w:r>
          </w:p>
        </w:tc>
      </w:tr>
      <w:tr w:rsidR="00292057" w:rsidTr="0081119C">
        <w:trPr>
          <w:cantSplit/>
          <w:jc w:val="center"/>
        </w:trPr>
        <w:tc>
          <w:tcPr>
            <w:tcW w:w="3521"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rPr>
                <w:b/>
                <w:bCs/>
              </w:rPr>
            </w:pPr>
          </w:p>
        </w:tc>
        <w:tc>
          <w:tcPr>
            <w:tcW w:w="1615" w:type="dxa"/>
            <w:tcBorders>
              <w:top w:val="nil"/>
              <w:left w:val="single" w:sz="2" w:space="0" w:color="000000"/>
              <w:bottom w:val="single" w:sz="2" w:space="0" w:color="000000"/>
              <w:right w:val="nil"/>
            </w:tcBorders>
          </w:tcPr>
          <w:p w:rsidR="00292057" w:rsidRPr="00D969CD" w:rsidRDefault="00292057" w:rsidP="002F4C4C">
            <w:pPr>
              <w:tabs>
                <w:tab w:val="left" w:pos="6946"/>
                <w:tab w:val="left" w:pos="8931"/>
              </w:tabs>
              <w:snapToGrid w:val="0"/>
              <w:jc w:val="center"/>
              <w:rPr>
                <w:b/>
                <w:bCs/>
              </w:rPr>
            </w:pPr>
          </w:p>
        </w:tc>
        <w:tc>
          <w:tcPr>
            <w:tcW w:w="3827" w:type="dxa"/>
            <w:tcBorders>
              <w:top w:val="nil"/>
              <w:left w:val="single" w:sz="2" w:space="0" w:color="000000"/>
              <w:bottom w:val="single" w:sz="2" w:space="0" w:color="000000"/>
              <w:right w:val="nil"/>
            </w:tcBorders>
          </w:tcPr>
          <w:p w:rsidR="00292057" w:rsidRPr="00D969CD" w:rsidRDefault="0081119C" w:rsidP="002F4C4C">
            <w:pPr>
              <w:tabs>
                <w:tab w:val="left" w:pos="6946"/>
                <w:tab w:val="left" w:pos="8931"/>
              </w:tabs>
              <w:snapToGrid w:val="0"/>
              <w:jc w:val="center"/>
            </w:pPr>
            <w:r>
              <w:t>Excédent 2024</w:t>
            </w:r>
          </w:p>
        </w:tc>
        <w:tc>
          <w:tcPr>
            <w:tcW w:w="1736" w:type="dxa"/>
            <w:tcBorders>
              <w:top w:val="nil"/>
              <w:left w:val="single" w:sz="2" w:space="0" w:color="000000"/>
              <w:bottom w:val="single" w:sz="2" w:space="0" w:color="000000"/>
              <w:right w:val="single" w:sz="2" w:space="0" w:color="000000"/>
            </w:tcBorders>
          </w:tcPr>
          <w:p w:rsidR="00292057" w:rsidRPr="00D969CD" w:rsidRDefault="0081119C" w:rsidP="002F4C4C">
            <w:pPr>
              <w:snapToGrid w:val="0"/>
              <w:jc w:val="center"/>
            </w:pPr>
            <w:r>
              <w:t>188 468,13 €</w:t>
            </w:r>
          </w:p>
        </w:tc>
      </w:tr>
      <w:tr w:rsidR="00292057" w:rsidTr="0081119C">
        <w:trPr>
          <w:cantSplit/>
          <w:jc w:val="center"/>
        </w:trPr>
        <w:tc>
          <w:tcPr>
            <w:tcW w:w="3521" w:type="dxa"/>
            <w:tcBorders>
              <w:top w:val="nil"/>
              <w:left w:val="single" w:sz="2" w:space="0" w:color="000000"/>
              <w:bottom w:val="single" w:sz="2" w:space="0" w:color="000000"/>
              <w:right w:val="nil"/>
            </w:tcBorders>
          </w:tcPr>
          <w:p w:rsidR="00292057" w:rsidRPr="00D969CD" w:rsidRDefault="00292057" w:rsidP="0081119C">
            <w:pPr>
              <w:tabs>
                <w:tab w:val="left" w:pos="6946"/>
                <w:tab w:val="left" w:pos="8931"/>
              </w:tabs>
              <w:snapToGrid w:val="0"/>
              <w:jc w:val="center"/>
              <w:rPr>
                <w:b/>
                <w:bCs/>
              </w:rPr>
            </w:pPr>
            <w:r w:rsidRPr="00D969CD">
              <w:rPr>
                <w:b/>
                <w:bCs/>
              </w:rPr>
              <w:t>Dép. engagées en 20</w:t>
            </w:r>
            <w:r>
              <w:rPr>
                <w:b/>
                <w:bCs/>
              </w:rPr>
              <w:t>2</w:t>
            </w:r>
            <w:r w:rsidR="0081119C">
              <w:rPr>
                <w:b/>
                <w:bCs/>
              </w:rPr>
              <w:t>4</w:t>
            </w:r>
            <w:r>
              <w:rPr>
                <w:b/>
                <w:bCs/>
              </w:rPr>
              <w:t xml:space="preserve"> (</w:t>
            </w:r>
            <w:r w:rsidRPr="00D969CD">
              <w:rPr>
                <w:b/>
                <w:bCs/>
              </w:rPr>
              <w:t>RAR)</w:t>
            </w:r>
          </w:p>
        </w:tc>
        <w:tc>
          <w:tcPr>
            <w:tcW w:w="1615" w:type="dxa"/>
            <w:tcBorders>
              <w:top w:val="nil"/>
              <w:left w:val="single" w:sz="2" w:space="0" w:color="000000"/>
              <w:bottom w:val="single" w:sz="2" w:space="0" w:color="000000"/>
              <w:right w:val="nil"/>
            </w:tcBorders>
          </w:tcPr>
          <w:p w:rsidR="00292057" w:rsidRPr="0081119C" w:rsidRDefault="00292057" w:rsidP="0081119C">
            <w:pPr>
              <w:tabs>
                <w:tab w:val="left" w:pos="6946"/>
                <w:tab w:val="left" w:pos="8931"/>
              </w:tabs>
              <w:snapToGrid w:val="0"/>
              <w:jc w:val="center"/>
              <w:rPr>
                <w:b/>
                <w:bCs/>
              </w:rPr>
            </w:pPr>
            <w:r w:rsidRPr="00D969CD">
              <w:t xml:space="preserve"> </w:t>
            </w:r>
            <w:r w:rsidR="0081119C" w:rsidRPr="0081119C">
              <w:rPr>
                <w:b/>
              </w:rPr>
              <w:t>453 716,00 €</w:t>
            </w:r>
          </w:p>
        </w:tc>
        <w:tc>
          <w:tcPr>
            <w:tcW w:w="3827" w:type="dxa"/>
            <w:tcBorders>
              <w:top w:val="nil"/>
              <w:left w:val="single" w:sz="2" w:space="0" w:color="000000"/>
              <w:bottom w:val="single" w:sz="2" w:space="0" w:color="000000"/>
              <w:right w:val="nil"/>
            </w:tcBorders>
          </w:tcPr>
          <w:p w:rsidR="00292057" w:rsidRPr="00D969CD" w:rsidRDefault="00292057" w:rsidP="0081119C">
            <w:pPr>
              <w:tabs>
                <w:tab w:val="left" w:pos="6946"/>
                <w:tab w:val="left" w:pos="8931"/>
              </w:tabs>
              <w:snapToGrid w:val="0"/>
              <w:jc w:val="center"/>
              <w:rPr>
                <w:b/>
                <w:bCs/>
              </w:rPr>
            </w:pPr>
            <w:r w:rsidRPr="00D969CD">
              <w:rPr>
                <w:b/>
                <w:bCs/>
              </w:rPr>
              <w:t>Recettes engagées sur 202</w:t>
            </w:r>
            <w:r w:rsidR="0081119C">
              <w:rPr>
                <w:b/>
                <w:bCs/>
              </w:rPr>
              <w:t>4</w:t>
            </w:r>
            <w:r w:rsidRPr="00D969CD">
              <w:rPr>
                <w:b/>
                <w:bCs/>
              </w:rPr>
              <w:t xml:space="preserve"> (R</w:t>
            </w:r>
            <w:r>
              <w:rPr>
                <w:b/>
                <w:bCs/>
              </w:rPr>
              <w:t>A</w:t>
            </w:r>
            <w:r w:rsidRPr="00D969CD">
              <w:rPr>
                <w:b/>
                <w:bCs/>
              </w:rPr>
              <w:t>R)</w:t>
            </w:r>
          </w:p>
        </w:tc>
        <w:tc>
          <w:tcPr>
            <w:tcW w:w="1736" w:type="dxa"/>
            <w:tcBorders>
              <w:top w:val="nil"/>
              <w:left w:val="single" w:sz="2" w:space="0" w:color="000000"/>
              <w:bottom w:val="single" w:sz="2" w:space="0" w:color="000000"/>
              <w:right w:val="single" w:sz="2" w:space="0" w:color="000000"/>
            </w:tcBorders>
          </w:tcPr>
          <w:p w:rsidR="00292057" w:rsidRPr="00D94CBD" w:rsidRDefault="0081119C" w:rsidP="002F4C4C">
            <w:pPr>
              <w:snapToGrid w:val="0"/>
              <w:jc w:val="center"/>
              <w:rPr>
                <w:b/>
              </w:rPr>
            </w:pPr>
            <w:r>
              <w:rPr>
                <w:b/>
              </w:rPr>
              <w:t>109 171,15 €</w:t>
            </w:r>
          </w:p>
        </w:tc>
      </w:tr>
    </w:tbl>
    <w:bookmarkEnd w:id="0"/>
    <w:p w:rsidR="00292057" w:rsidRDefault="00292057" w:rsidP="00292057">
      <w:pPr>
        <w:jc w:val="center"/>
        <w:rPr>
          <w:i/>
          <w:iCs/>
          <w:sz w:val="22"/>
          <w:szCs w:val="22"/>
        </w:rPr>
      </w:pPr>
      <w:r>
        <w:rPr>
          <w:i/>
          <w:iCs/>
          <w:sz w:val="22"/>
          <w:szCs w:val="22"/>
        </w:rPr>
        <w:t>Nota : Le détail du budget peut-être consulté au secrétariat de mairie.</w:t>
      </w:r>
    </w:p>
    <w:p w:rsidR="004A34C8" w:rsidRPr="009362C8" w:rsidRDefault="004A34C8" w:rsidP="00B93B98">
      <w:pPr>
        <w:rPr>
          <w:sz w:val="12"/>
          <w:szCs w:val="12"/>
          <w:lang w:eastAsia="ar-SA"/>
        </w:rPr>
      </w:pPr>
    </w:p>
    <w:p w:rsidR="00373776" w:rsidRPr="00373776" w:rsidRDefault="00373776" w:rsidP="00B93B98">
      <w:pPr>
        <w:rPr>
          <w:b/>
          <w:bCs/>
          <w:u w:val="single"/>
        </w:rPr>
      </w:pPr>
      <w:r w:rsidRPr="00373776">
        <w:rPr>
          <w:b/>
          <w:bCs/>
          <w:u w:val="single"/>
        </w:rPr>
        <w:t>Repas de chasse</w:t>
      </w:r>
    </w:p>
    <w:p w:rsidR="00373776" w:rsidRPr="009362C8" w:rsidRDefault="00373776" w:rsidP="00B93B98">
      <w:pPr>
        <w:rPr>
          <w:sz w:val="12"/>
          <w:szCs w:val="12"/>
          <w:lang w:eastAsia="ar-SA"/>
        </w:rPr>
      </w:pPr>
    </w:p>
    <w:p w:rsidR="00373776" w:rsidRDefault="00373776" w:rsidP="00B93B98">
      <w:pPr>
        <w:rPr>
          <w:bCs/>
        </w:rPr>
      </w:pPr>
      <w:r w:rsidRPr="00373776">
        <w:rPr>
          <w:bCs/>
        </w:rPr>
        <w:t xml:space="preserve">La société de chasse d’Aussac-Vadalle vous invite  à son repas le </w:t>
      </w:r>
      <w:r w:rsidRPr="007D04C5">
        <w:rPr>
          <w:b/>
          <w:bCs/>
        </w:rPr>
        <w:t>samedi 17 mai</w:t>
      </w:r>
      <w:r>
        <w:rPr>
          <w:bCs/>
        </w:rPr>
        <w:t xml:space="preserve"> à la Salle des fêtes à partir de 12h00 (voir flyer au verso).</w:t>
      </w:r>
    </w:p>
    <w:p w:rsidR="00C658DF" w:rsidRPr="009362C8" w:rsidRDefault="00C658DF" w:rsidP="00B93B98">
      <w:pPr>
        <w:rPr>
          <w:sz w:val="12"/>
          <w:szCs w:val="12"/>
          <w:lang w:eastAsia="ar-SA"/>
        </w:rPr>
      </w:pPr>
    </w:p>
    <w:p w:rsidR="00C658DF" w:rsidRPr="00C658DF" w:rsidRDefault="00C658DF" w:rsidP="00B93B98">
      <w:pPr>
        <w:rPr>
          <w:b/>
          <w:bCs/>
          <w:u w:val="single"/>
        </w:rPr>
      </w:pPr>
      <w:r w:rsidRPr="00C658DF">
        <w:rPr>
          <w:b/>
          <w:bCs/>
          <w:u w:val="single"/>
        </w:rPr>
        <w:t>Brin d’aillet du CFAV</w:t>
      </w:r>
    </w:p>
    <w:p w:rsidR="00C658DF" w:rsidRPr="009362C8" w:rsidRDefault="00C658DF" w:rsidP="00B93B98">
      <w:pPr>
        <w:rPr>
          <w:sz w:val="12"/>
          <w:szCs w:val="12"/>
          <w:lang w:eastAsia="ar-SA"/>
        </w:rPr>
      </w:pPr>
    </w:p>
    <w:p w:rsidR="00C658DF" w:rsidRPr="00373776" w:rsidRDefault="00C658DF" w:rsidP="00B93B98">
      <w:pPr>
        <w:rPr>
          <w:bCs/>
        </w:rPr>
      </w:pPr>
      <w:r>
        <w:rPr>
          <w:bCs/>
        </w:rPr>
        <w:t xml:space="preserve">Le Comité des Fêtes d’Aussac-Vadalle vous invite au brin d’aillet du </w:t>
      </w:r>
      <w:r w:rsidRPr="007D04C5">
        <w:rPr>
          <w:b/>
          <w:bCs/>
        </w:rPr>
        <w:t>1</w:t>
      </w:r>
      <w:r w:rsidRPr="007D04C5">
        <w:rPr>
          <w:b/>
          <w:bCs/>
          <w:vertAlign w:val="superscript"/>
        </w:rPr>
        <w:t>er</w:t>
      </w:r>
      <w:r w:rsidRPr="007D04C5">
        <w:rPr>
          <w:b/>
          <w:bCs/>
        </w:rPr>
        <w:t xml:space="preserve"> mai</w:t>
      </w:r>
      <w:r>
        <w:rPr>
          <w:bCs/>
        </w:rPr>
        <w:t xml:space="preserve"> à Puymerle (voir flyer au verso).</w:t>
      </w:r>
    </w:p>
    <w:p w:rsidR="00373776" w:rsidRPr="009362C8" w:rsidRDefault="00BF10B7" w:rsidP="00B93B98">
      <w:pPr>
        <w:rPr>
          <w:sz w:val="12"/>
          <w:szCs w:val="12"/>
          <w:lang w:eastAsia="ar-SA"/>
        </w:rPr>
      </w:pPr>
      <w:r w:rsidRPr="009362C8">
        <w:rPr>
          <w:noProof/>
          <w:sz w:val="12"/>
          <w:szCs w:val="12"/>
        </w:rPr>
        <w:drawing>
          <wp:anchor distT="0" distB="0" distL="114300" distR="114300" simplePos="0" relativeHeight="251666944" behindDoc="1" locked="0" layoutInCell="1" allowOverlap="1">
            <wp:simplePos x="0" y="0"/>
            <wp:positionH relativeFrom="column">
              <wp:posOffset>4609465</wp:posOffset>
            </wp:positionH>
            <wp:positionV relativeFrom="paragraph">
              <wp:posOffset>140970</wp:posOffset>
            </wp:positionV>
            <wp:extent cx="2138680" cy="914400"/>
            <wp:effectExtent l="19050" t="0" r="0" b="0"/>
            <wp:wrapTight wrapText="bothSides">
              <wp:wrapPolygon edited="0">
                <wp:start x="-192" y="0"/>
                <wp:lineTo x="-192" y="21150"/>
                <wp:lineTo x="21549" y="21150"/>
                <wp:lineTo x="21549" y="0"/>
                <wp:lineTo x="-192"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138680" cy="914400"/>
                    </a:xfrm>
                    <a:prstGeom prst="rect">
                      <a:avLst/>
                    </a:prstGeom>
                    <a:noFill/>
                    <a:ln w="9525">
                      <a:noFill/>
                      <a:miter lim="800000"/>
                      <a:headEnd/>
                      <a:tailEnd/>
                    </a:ln>
                  </pic:spPr>
                </pic:pic>
              </a:graphicData>
            </a:graphic>
          </wp:anchor>
        </w:drawing>
      </w:r>
    </w:p>
    <w:p w:rsidR="004A34C8" w:rsidRPr="00C658DF" w:rsidRDefault="00C658DF" w:rsidP="00175C97">
      <w:pPr>
        <w:rPr>
          <w:b/>
          <w:bCs/>
          <w:u w:val="single"/>
        </w:rPr>
      </w:pPr>
      <w:r w:rsidRPr="00C658DF">
        <w:rPr>
          <w:b/>
          <w:bCs/>
          <w:u w:val="single"/>
        </w:rPr>
        <w:t>Fête de l’arbre et de la nature</w:t>
      </w:r>
    </w:p>
    <w:p w:rsidR="00C658DF" w:rsidRPr="009362C8" w:rsidRDefault="00C658DF" w:rsidP="00175C97">
      <w:pPr>
        <w:rPr>
          <w:sz w:val="12"/>
          <w:szCs w:val="12"/>
          <w:lang w:eastAsia="ar-SA"/>
        </w:rPr>
      </w:pPr>
    </w:p>
    <w:p w:rsidR="00C658DF" w:rsidRDefault="00C658DF" w:rsidP="00175C97">
      <w:r>
        <w:t>Du 1</w:t>
      </w:r>
      <w:r w:rsidRPr="00C658DF">
        <w:rPr>
          <w:vertAlign w:val="superscript"/>
        </w:rPr>
        <w:t>er</w:t>
      </w:r>
      <w:r>
        <w:t xml:space="preserve"> au 28 mai 2025 plusieurs ateliers et animations sont prévus sur les communes du Ruffécois. Concernant notre commune le </w:t>
      </w:r>
      <w:r w:rsidRPr="00C658DF">
        <w:rPr>
          <w:b/>
        </w:rPr>
        <w:t>dimanche 11 mai</w:t>
      </w:r>
      <w:r>
        <w:t xml:space="preserve"> à la clairière de Puymerle, spectacle « les secrets de la clairière ».</w:t>
      </w:r>
    </w:p>
    <w:p w:rsidR="00C658DF" w:rsidRDefault="00C658DF" w:rsidP="00175C97">
      <w:r>
        <w:t>RDV 16h – entrée gratuite.</w:t>
      </w:r>
    </w:p>
    <w:p w:rsidR="00C658DF" w:rsidRDefault="00C658DF" w:rsidP="00175C97">
      <w:r>
        <w:t xml:space="preserve">Et le </w:t>
      </w:r>
      <w:r w:rsidRPr="00BF10B7">
        <w:rPr>
          <w:b/>
        </w:rPr>
        <w:t>dimanche 18 mai</w:t>
      </w:r>
      <w:r>
        <w:t xml:space="preserve"> </w:t>
      </w:r>
      <w:r w:rsidR="00BF10B7">
        <w:t>de 9h à 18h à Puymerle également</w:t>
      </w:r>
      <w:r w:rsidR="007D04C5">
        <w:t>,</w:t>
      </w:r>
      <w:r w:rsidR="00BF10B7">
        <w:t xml:space="preserve"> 2</w:t>
      </w:r>
      <w:r w:rsidR="00BF10B7" w:rsidRPr="00BF10B7">
        <w:rPr>
          <w:vertAlign w:val="superscript"/>
        </w:rPr>
        <w:t>ème</w:t>
      </w:r>
      <w:r w:rsidR="00BF10B7">
        <w:t xml:space="preserve"> édition PLANTE EN FÊTE – Vente de plantes et brocante spécial jardin – Restauration sur place à base de produits frais - entrée 2</w:t>
      </w:r>
      <w:r w:rsidR="007D04C5">
        <w:t xml:space="preserve"> </w:t>
      </w:r>
      <w:r w:rsidR="00BF10B7">
        <w:t>€</w:t>
      </w:r>
      <w:r w:rsidR="007D04C5">
        <w:t>.</w:t>
      </w:r>
    </w:p>
    <w:p w:rsidR="00C658DF" w:rsidRDefault="00C658DF" w:rsidP="00175C97"/>
    <w:p w:rsidR="00C658DF" w:rsidRDefault="00C658DF" w:rsidP="00175C97"/>
    <w:p w:rsidR="00C658DF" w:rsidRDefault="00C658DF" w:rsidP="00175C97"/>
    <w:p w:rsidR="004A34C8" w:rsidRDefault="009362C8" w:rsidP="00175C97">
      <w:r>
        <w:rPr>
          <w:noProof/>
        </w:rPr>
        <w:lastRenderedPageBreak/>
        <w:drawing>
          <wp:anchor distT="0" distB="0" distL="114300" distR="114300" simplePos="0" relativeHeight="251662848" behindDoc="1" locked="0" layoutInCell="1" allowOverlap="1">
            <wp:simplePos x="0" y="0"/>
            <wp:positionH relativeFrom="column">
              <wp:posOffset>98425</wp:posOffset>
            </wp:positionH>
            <wp:positionV relativeFrom="paragraph">
              <wp:posOffset>29210</wp:posOffset>
            </wp:positionV>
            <wp:extent cx="5967095" cy="4235450"/>
            <wp:effectExtent l="19050" t="0" r="0" b="0"/>
            <wp:wrapTight wrapText="bothSides">
              <wp:wrapPolygon edited="0">
                <wp:start x="-69" y="0"/>
                <wp:lineTo x="-69" y="21470"/>
                <wp:lineTo x="21584" y="21470"/>
                <wp:lineTo x="21584" y="0"/>
                <wp:lineTo x="-69"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5967095" cy="4235450"/>
                    </a:xfrm>
                    <a:prstGeom prst="rect">
                      <a:avLst/>
                    </a:prstGeom>
                    <a:noFill/>
                    <a:ln w="9525">
                      <a:noFill/>
                      <a:miter lim="800000"/>
                      <a:headEnd/>
                      <a:tailEnd/>
                    </a:ln>
                  </pic:spPr>
                </pic:pic>
              </a:graphicData>
            </a:graphic>
          </wp:anchor>
        </w:drawing>
      </w:r>
    </w:p>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4A34C8" w:rsidP="00175C97"/>
    <w:p w:rsidR="004A34C8" w:rsidRDefault="00BF10B7" w:rsidP="00175C97">
      <w:r>
        <w:rPr>
          <w:noProof/>
        </w:rPr>
        <w:drawing>
          <wp:anchor distT="0" distB="0" distL="114300" distR="114300" simplePos="0" relativeHeight="251664896" behindDoc="1" locked="0" layoutInCell="1" allowOverlap="1">
            <wp:simplePos x="0" y="0"/>
            <wp:positionH relativeFrom="column">
              <wp:posOffset>260985</wp:posOffset>
            </wp:positionH>
            <wp:positionV relativeFrom="paragraph">
              <wp:posOffset>803275</wp:posOffset>
            </wp:positionV>
            <wp:extent cx="6221730" cy="4390390"/>
            <wp:effectExtent l="19050" t="0" r="7620" b="0"/>
            <wp:wrapTight wrapText="bothSides">
              <wp:wrapPolygon edited="0">
                <wp:start x="-66" y="0"/>
                <wp:lineTo x="-66" y="21463"/>
                <wp:lineTo x="21626" y="21463"/>
                <wp:lineTo x="21626" y="0"/>
                <wp:lineTo x="-66"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6221730" cy="4390390"/>
                    </a:xfrm>
                    <a:prstGeom prst="rect">
                      <a:avLst/>
                    </a:prstGeom>
                    <a:noFill/>
                    <a:ln w="9525">
                      <a:noFill/>
                      <a:miter lim="800000"/>
                      <a:headEnd/>
                      <a:tailEnd/>
                    </a:ln>
                  </pic:spPr>
                </pic:pic>
              </a:graphicData>
            </a:graphic>
          </wp:anchor>
        </w:drawing>
      </w:r>
      <w:r w:rsidR="00EE0484">
        <w:rPr>
          <w:noProof/>
        </w:rPr>
        <w:pict>
          <v:rect id="_x0000_s1033" style="position:absolute;margin-left:441.15pt;margin-top:10.85pt;width:117pt;height:54pt;z-index:251660800;mso-position-horizontal-relative:text;mso-position-vertical-relative:text" stroked="f"/>
        </w:pict>
      </w:r>
    </w:p>
    <w:sectPr w:rsidR="004A34C8" w:rsidSect="00664B6A">
      <w:footerReference w:type="default" r:id="rId11"/>
      <w:pgSz w:w="11906" w:h="16838"/>
      <w:pgMar w:top="360" w:right="567" w:bottom="539" w:left="567" w:header="709"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F97" w:rsidRDefault="00847F97" w:rsidP="001062A6">
      <w:r>
        <w:separator/>
      </w:r>
    </w:p>
  </w:endnote>
  <w:endnote w:type="continuationSeparator" w:id="1">
    <w:p w:rsidR="00847F97" w:rsidRDefault="00847F97" w:rsidP="00106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00B" w:rsidRPr="00D15236" w:rsidRDefault="0022500B" w:rsidP="0050177C">
    <w:pPr>
      <w:pStyle w:val="Pieddepage"/>
      <w:jc w:val="center"/>
      <w:rPr>
        <w:sz w:val="20"/>
        <w:szCs w:val="20"/>
      </w:rPr>
    </w:pPr>
    <w:r w:rsidRPr="00D15236">
      <w:rPr>
        <w:sz w:val="20"/>
        <w:szCs w:val="20"/>
      </w:rPr>
      <w:t>Mairie 61, rue de la République 16560 AUSSAC-VADALLE</w:t>
    </w:r>
  </w:p>
  <w:p w:rsidR="0022500B" w:rsidRPr="00D15236" w:rsidRDefault="00BF10B7" w:rsidP="0050177C">
    <w:pPr>
      <w:pStyle w:val="Pieddepage"/>
      <w:jc w:val="center"/>
      <w:rPr>
        <w:sz w:val="20"/>
        <w:szCs w:val="20"/>
      </w:rPr>
    </w:pPr>
    <w:r>
      <w:rPr>
        <w:noProof/>
      </w:rPr>
      <w:drawing>
        <wp:anchor distT="0" distB="0" distL="114300" distR="114300" simplePos="0" relativeHeight="251660288" behindDoc="0" locked="0" layoutInCell="1" allowOverlap="1">
          <wp:simplePos x="0" y="0"/>
          <wp:positionH relativeFrom="column">
            <wp:posOffset>5708650</wp:posOffset>
          </wp:positionH>
          <wp:positionV relativeFrom="paragraph">
            <wp:posOffset>-617855</wp:posOffset>
          </wp:positionV>
          <wp:extent cx="1075690" cy="1083945"/>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1075690" cy="1083945"/>
                  </a:xfrm>
                  <a:prstGeom prst="rect">
                    <a:avLst/>
                  </a:prstGeom>
                  <a:noFill/>
                </pic:spPr>
              </pic:pic>
            </a:graphicData>
          </a:graphic>
        </wp:anchor>
      </w:drawing>
    </w:r>
    <w:r w:rsidR="0022500B"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F97" w:rsidRDefault="00847F97" w:rsidP="001062A6">
      <w:r>
        <w:separator/>
      </w:r>
    </w:p>
  </w:footnote>
  <w:footnote w:type="continuationSeparator" w:id="1">
    <w:p w:rsidR="00847F97" w:rsidRDefault="00847F97"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3C05"/>
    <w:multiLevelType w:val="hybridMultilevel"/>
    <w:tmpl w:val="4086B43E"/>
    <w:lvl w:ilvl="0" w:tplc="523E764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13461BEC"/>
    <w:multiLevelType w:val="hybridMultilevel"/>
    <w:tmpl w:val="051091BE"/>
    <w:lvl w:ilvl="0" w:tplc="FA7E51D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2E301B65"/>
    <w:multiLevelType w:val="multilevel"/>
    <w:tmpl w:val="65ACE3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15962AB"/>
    <w:multiLevelType w:val="hybridMultilevel"/>
    <w:tmpl w:val="A134F566"/>
    <w:lvl w:ilvl="0" w:tplc="5E1A676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3B9A3AE5"/>
    <w:multiLevelType w:val="hybridMultilevel"/>
    <w:tmpl w:val="F5D6BEB8"/>
    <w:lvl w:ilvl="0" w:tplc="D0780C6C">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47490466"/>
    <w:multiLevelType w:val="hybridMultilevel"/>
    <w:tmpl w:val="E8DE32DA"/>
    <w:lvl w:ilvl="0" w:tplc="040C000D">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4E72229B"/>
    <w:multiLevelType w:val="multilevel"/>
    <w:tmpl w:val="AC466C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27639A7"/>
    <w:multiLevelType w:val="multilevel"/>
    <w:tmpl w:val="DB0CDC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73F3000B"/>
    <w:multiLevelType w:val="hybridMultilevel"/>
    <w:tmpl w:val="9FFE4B98"/>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nsid w:val="78D5517E"/>
    <w:multiLevelType w:val="multilevel"/>
    <w:tmpl w:val="1BC6E3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7"/>
  </w:num>
  <w:num w:numId="2">
    <w:abstractNumId w:val="2"/>
  </w:num>
  <w:num w:numId="3">
    <w:abstractNumId w:val="8"/>
  </w:num>
  <w:num w:numId="4">
    <w:abstractNumId w:val="9"/>
  </w:num>
  <w:num w:numId="5">
    <w:abstractNumId w:val="4"/>
  </w:num>
  <w:num w:numId="6">
    <w:abstractNumId w:val="1"/>
  </w:num>
  <w:num w:numId="7">
    <w:abstractNumId w:val="0"/>
  </w:num>
  <w:num w:numId="8">
    <w:abstractNumId w:val="3"/>
  </w:num>
  <w:num w:numId="9">
    <w:abstractNumId w:val="5"/>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hdrShapeDefaults>
    <o:shapedefaults v:ext="edit" spidmax="10242"/>
  </w:hdrShapeDefaults>
  <w:footnotePr>
    <w:footnote w:id="0"/>
    <w:footnote w:id="1"/>
  </w:footnotePr>
  <w:endnotePr>
    <w:endnote w:id="0"/>
    <w:endnote w:id="1"/>
  </w:endnotePr>
  <w:compat/>
  <w:rsids>
    <w:rsidRoot w:val="00B93EE6"/>
    <w:rsid w:val="00002814"/>
    <w:rsid w:val="00006339"/>
    <w:rsid w:val="000078CA"/>
    <w:rsid w:val="00007D50"/>
    <w:rsid w:val="00015E2A"/>
    <w:rsid w:val="0001765B"/>
    <w:rsid w:val="00020A51"/>
    <w:rsid w:val="00021BBD"/>
    <w:rsid w:val="00022C5F"/>
    <w:rsid w:val="00026F7B"/>
    <w:rsid w:val="00032331"/>
    <w:rsid w:val="00033EF9"/>
    <w:rsid w:val="00035891"/>
    <w:rsid w:val="000402A0"/>
    <w:rsid w:val="000403A2"/>
    <w:rsid w:val="0005110B"/>
    <w:rsid w:val="00080F41"/>
    <w:rsid w:val="00082559"/>
    <w:rsid w:val="00083A68"/>
    <w:rsid w:val="0009251A"/>
    <w:rsid w:val="000941D4"/>
    <w:rsid w:val="00096D71"/>
    <w:rsid w:val="000A2E48"/>
    <w:rsid w:val="000B6839"/>
    <w:rsid w:val="000C204F"/>
    <w:rsid w:val="000C336F"/>
    <w:rsid w:val="000C3A30"/>
    <w:rsid w:val="000C4126"/>
    <w:rsid w:val="000C5F1B"/>
    <w:rsid w:val="000C65B1"/>
    <w:rsid w:val="000D0C56"/>
    <w:rsid w:val="000D1B4B"/>
    <w:rsid w:val="000D7B11"/>
    <w:rsid w:val="000F0048"/>
    <w:rsid w:val="000F19C5"/>
    <w:rsid w:val="000F229C"/>
    <w:rsid w:val="000F415C"/>
    <w:rsid w:val="000F542D"/>
    <w:rsid w:val="00102A65"/>
    <w:rsid w:val="0010344A"/>
    <w:rsid w:val="00106110"/>
    <w:rsid w:val="001062A6"/>
    <w:rsid w:val="001103B8"/>
    <w:rsid w:val="001123DA"/>
    <w:rsid w:val="001128D0"/>
    <w:rsid w:val="00113928"/>
    <w:rsid w:val="00116078"/>
    <w:rsid w:val="00123298"/>
    <w:rsid w:val="00124490"/>
    <w:rsid w:val="00124A63"/>
    <w:rsid w:val="00125945"/>
    <w:rsid w:val="00126552"/>
    <w:rsid w:val="001277DE"/>
    <w:rsid w:val="001316E0"/>
    <w:rsid w:val="00133028"/>
    <w:rsid w:val="0013384F"/>
    <w:rsid w:val="00134138"/>
    <w:rsid w:val="001530AC"/>
    <w:rsid w:val="001554D6"/>
    <w:rsid w:val="00162136"/>
    <w:rsid w:val="001630A3"/>
    <w:rsid w:val="00171223"/>
    <w:rsid w:val="00171A49"/>
    <w:rsid w:val="001745A7"/>
    <w:rsid w:val="00175C97"/>
    <w:rsid w:val="00183319"/>
    <w:rsid w:val="001B4E94"/>
    <w:rsid w:val="001C4CFC"/>
    <w:rsid w:val="001C5003"/>
    <w:rsid w:val="001D2177"/>
    <w:rsid w:val="001D5A44"/>
    <w:rsid w:val="001E5718"/>
    <w:rsid w:val="001E70F0"/>
    <w:rsid w:val="001F53B5"/>
    <w:rsid w:val="00203742"/>
    <w:rsid w:val="00205E82"/>
    <w:rsid w:val="002068D0"/>
    <w:rsid w:val="00207CB4"/>
    <w:rsid w:val="00207DBD"/>
    <w:rsid w:val="002230BB"/>
    <w:rsid w:val="0022484D"/>
    <w:rsid w:val="0022500B"/>
    <w:rsid w:val="00226719"/>
    <w:rsid w:val="00226C5F"/>
    <w:rsid w:val="002324BE"/>
    <w:rsid w:val="002355CF"/>
    <w:rsid w:val="00240F2A"/>
    <w:rsid w:val="00241AAB"/>
    <w:rsid w:val="00241F83"/>
    <w:rsid w:val="002446E1"/>
    <w:rsid w:val="00246C42"/>
    <w:rsid w:val="002521CA"/>
    <w:rsid w:val="00253242"/>
    <w:rsid w:val="00253347"/>
    <w:rsid w:val="002609AF"/>
    <w:rsid w:val="00260A9D"/>
    <w:rsid w:val="0026504A"/>
    <w:rsid w:val="0026699B"/>
    <w:rsid w:val="0027209F"/>
    <w:rsid w:val="00274D1E"/>
    <w:rsid w:val="00274F8B"/>
    <w:rsid w:val="002766CC"/>
    <w:rsid w:val="0027681A"/>
    <w:rsid w:val="002813AF"/>
    <w:rsid w:val="00292057"/>
    <w:rsid w:val="0029227A"/>
    <w:rsid w:val="00297C6B"/>
    <w:rsid w:val="002A222A"/>
    <w:rsid w:val="002A317D"/>
    <w:rsid w:val="002B13F9"/>
    <w:rsid w:val="002B23CC"/>
    <w:rsid w:val="002B6849"/>
    <w:rsid w:val="002C0755"/>
    <w:rsid w:val="002C76F3"/>
    <w:rsid w:val="002D008E"/>
    <w:rsid w:val="002D7ED8"/>
    <w:rsid w:val="002E21D8"/>
    <w:rsid w:val="002E4723"/>
    <w:rsid w:val="002F09E8"/>
    <w:rsid w:val="002F0DB4"/>
    <w:rsid w:val="002F33D0"/>
    <w:rsid w:val="002F3FF9"/>
    <w:rsid w:val="002F4AE5"/>
    <w:rsid w:val="00300EE5"/>
    <w:rsid w:val="0030179E"/>
    <w:rsid w:val="00302F56"/>
    <w:rsid w:val="003056A4"/>
    <w:rsid w:val="00310B49"/>
    <w:rsid w:val="003115C0"/>
    <w:rsid w:val="00311EDC"/>
    <w:rsid w:val="00312B14"/>
    <w:rsid w:val="00315415"/>
    <w:rsid w:val="00317FC3"/>
    <w:rsid w:val="00323885"/>
    <w:rsid w:val="00330939"/>
    <w:rsid w:val="00335191"/>
    <w:rsid w:val="003445E7"/>
    <w:rsid w:val="00344600"/>
    <w:rsid w:val="003474EA"/>
    <w:rsid w:val="003516A3"/>
    <w:rsid w:val="00356187"/>
    <w:rsid w:val="00356793"/>
    <w:rsid w:val="003578AF"/>
    <w:rsid w:val="00365923"/>
    <w:rsid w:val="0036697C"/>
    <w:rsid w:val="00366A3E"/>
    <w:rsid w:val="00370A41"/>
    <w:rsid w:val="00373776"/>
    <w:rsid w:val="0037521B"/>
    <w:rsid w:val="0038579D"/>
    <w:rsid w:val="00393E8A"/>
    <w:rsid w:val="00395528"/>
    <w:rsid w:val="00397C9E"/>
    <w:rsid w:val="003A694A"/>
    <w:rsid w:val="003B0FC6"/>
    <w:rsid w:val="003C642B"/>
    <w:rsid w:val="003F211E"/>
    <w:rsid w:val="003F4E80"/>
    <w:rsid w:val="003F7C1B"/>
    <w:rsid w:val="00403C63"/>
    <w:rsid w:val="004109E5"/>
    <w:rsid w:val="004118C4"/>
    <w:rsid w:val="00417A2A"/>
    <w:rsid w:val="00427FB8"/>
    <w:rsid w:val="00434E27"/>
    <w:rsid w:val="00435F72"/>
    <w:rsid w:val="00436F93"/>
    <w:rsid w:val="004436BD"/>
    <w:rsid w:val="00445F99"/>
    <w:rsid w:val="00447FD8"/>
    <w:rsid w:val="00450B23"/>
    <w:rsid w:val="004564B4"/>
    <w:rsid w:val="0047064A"/>
    <w:rsid w:val="004709AA"/>
    <w:rsid w:val="00471A4F"/>
    <w:rsid w:val="00471BDD"/>
    <w:rsid w:val="0047458E"/>
    <w:rsid w:val="00477829"/>
    <w:rsid w:val="0047783F"/>
    <w:rsid w:val="00491091"/>
    <w:rsid w:val="00495382"/>
    <w:rsid w:val="004962E1"/>
    <w:rsid w:val="004A34C8"/>
    <w:rsid w:val="004B0591"/>
    <w:rsid w:val="004B3B65"/>
    <w:rsid w:val="004B5B8A"/>
    <w:rsid w:val="004D16D4"/>
    <w:rsid w:val="004D17A4"/>
    <w:rsid w:val="004D439D"/>
    <w:rsid w:val="004D69D8"/>
    <w:rsid w:val="004E7634"/>
    <w:rsid w:val="00500280"/>
    <w:rsid w:val="005002AB"/>
    <w:rsid w:val="0050177C"/>
    <w:rsid w:val="0051164F"/>
    <w:rsid w:val="00521A21"/>
    <w:rsid w:val="00525050"/>
    <w:rsid w:val="00532D37"/>
    <w:rsid w:val="00535694"/>
    <w:rsid w:val="00537D2C"/>
    <w:rsid w:val="005407F2"/>
    <w:rsid w:val="0056652F"/>
    <w:rsid w:val="00573DB9"/>
    <w:rsid w:val="00580A3E"/>
    <w:rsid w:val="00587CC3"/>
    <w:rsid w:val="00592502"/>
    <w:rsid w:val="005955CC"/>
    <w:rsid w:val="005A1194"/>
    <w:rsid w:val="005A7957"/>
    <w:rsid w:val="005B1B98"/>
    <w:rsid w:val="005B1D07"/>
    <w:rsid w:val="005B2248"/>
    <w:rsid w:val="005B264C"/>
    <w:rsid w:val="005B57DD"/>
    <w:rsid w:val="005B71F5"/>
    <w:rsid w:val="005C14B6"/>
    <w:rsid w:val="005C55C0"/>
    <w:rsid w:val="005D0ADD"/>
    <w:rsid w:val="005D0C7A"/>
    <w:rsid w:val="005D0EED"/>
    <w:rsid w:val="005E4096"/>
    <w:rsid w:val="005E4E16"/>
    <w:rsid w:val="005E6B8B"/>
    <w:rsid w:val="005E7B86"/>
    <w:rsid w:val="005F2507"/>
    <w:rsid w:val="005F4183"/>
    <w:rsid w:val="005F4D59"/>
    <w:rsid w:val="005F6E01"/>
    <w:rsid w:val="0060410A"/>
    <w:rsid w:val="00606016"/>
    <w:rsid w:val="00607844"/>
    <w:rsid w:val="00616DB3"/>
    <w:rsid w:val="00620F2A"/>
    <w:rsid w:val="006226C7"/>
    <w:rsid w:val="00627D09"/>
    <w:rsid w:val="00654930"/>
    <w:rsid w:val="00664B6A"/>
    <w:rsid w:val="0067240F"/>
    <w:rsid w:val="00673240"/>
    <w:rsid w:val="006744CF"/>
    <w:rsid w:val="006916EA"/>
    <w:rsid w:val="0069328E"/>
    <w:rsid w:val="006A44C0"/>
    <w:rsid w:val="006B682D"/>
    <w:rsid w:val="006B7DCA"/>
    <w:rsid w:val="006C231D"/>
    <w:rsid w:val="006D26F4"/>
    <w:rsid w:val="006D45BF"/>
    <w:rsid w:val="006E05CD"/>
    <w:rsid w:val="006E4B44"/>
    <w:rsid w:val="006E5D2B"/>
    <w:rsid w:val="006E718F"/>
    <w:rsid w:val="006F120F"/>
    <w:rsid w:val="006F1D3B"/>
    <w:rsid w:val="006F1DAA"/>
    <w:rsid w:val="006F2972"/>
    <w:rsid w:val="006F4FDE"/>
    <w:rsid w:val="006F6404"/>
    <w:rsid w:val="00703402"/>
    <w:rsid w:val="00703B84"/>
    <w:rsid w:val="0070738E"/>
    <w:rsid w:val="00711F25"/>
    <w:rsid w:val="007168BE"/>
    <w:rsid w:val="00720566"/>
    <w:rsid w:val="00721295"/>
    <w:rsid w:val="00721D15"/>
    <w:rsid w:val="00742CDA"/>
    <w:rsid w:val="00744B69"/>
    <w:rsid w:val="00750CF7"/>
    <w:rsid w:val="00757214"/>
    <w:rsid w:val="007604DD"/>
    <w:rsid w:val="00760B5D"/>
    <w:rsid w:val="007622A7"/>
    <w:rsid w:val="00762C0A"/>
    <w:rsid w:val="007679F6"/>
    <w:rsid w:val="007726FE"/>
    <w:rsid w:val="00772F8F"/>
    <w:rsid w:val="00780270"/>
    <w:rsid w:val="00790083"/>
    <w:rsid w:val="007908F0"/>
    <w:rsid w:val="00797415"/>
    <w:rsid w:val="007A488A"/>
    <w:rsid w:val="007B099E"/>
    <w:rsid w:val="007B4149"/>
    <w:rsid w:val="007C0439"/>
    <w:rsid w:val="007C096E"/>
    <w:rsid w:val="007C5C7F"/>
    <w:rsid w:val="007C7909"/>
    <w:rsid w:val="007D04C5"/>
    <w:rsid w:val="007D5CE4"/>
    <w:rsid w:val="007D6696"/>
    <w:rsid w:val="007D6FDF"/>
    <w:rsid w:val="007E7206"/>
    <w:rsid w:val="007F3D90"/>
    <w:rsid w:val="007F6EA7"/>
    <w:rsid w:val="007F7487"/>
    <w:rsid w:val="007F7C0E"/>
    <w:rsid w:val="0080076F"/>
    <w:rsid w:val="0080081E"/>
    <w:rsid w:val="00800EAC"/>
    <w:rsid w:val="00807425"/>
    <w:rsid w:val="0081119C"/>
    <w:rsid w:val="008150E1"/>
    <w:rsid w:val="00831947"/>
    <w:rsid w:val="00835764"/>
    <w:rsid w:val="00835C83"/>
    <w:rsid w:val="008372BE"/>
    <w:rsid w:val="0084490C"/>
    <w:rsid w:val="00844F76"/>
    <w:rsid w:val="00847671"/>
    <w:rsid w:val="00847F97"/>
    <w:rsid w:val="00847FFB"/>
    <w:rsid w:val="00851FEE"/>
    <w:rsid w:val="00852967"/>
    <w:rsid w:val="00856172"/>
    <w:rsid w:val="00861109"/>
    <w:rsid w:val="00865455"/>
    <w:rsid w:val="008839C0"/>
    <w:rsid w:val="0088771A"/>
    <w:rsid w:val="0089041B"/>
    <w:rsid w:val="008906F5"/>
    <w:rsid w:val="00893739"/>
    <w:rsid w:val="008A76D2"/>
    <w:rsid w:val="008B2284"/>
    <w:rsid w:val="008C3491"/>
    <w:rsid w:val="008D4181"/>
    <w:rsid w:val="008D5D7E"/>
    <w:rsid w:val="008E7AB2"/>
    <w:rsid w:val="008F2A78"/>
    <w:rsid w:val="008F5980"/>
    <w:rsid w:val="00902777"/>
    <w:rsid w:val="0091164E"/>
    <w:rsid w:val="009268B3"/>
    <w:rsid w:val="00927960"/>
    <w:rsid w:val="009332D1"/>
    <w:rsid w:val="009362C8"/>
    <w:rsid w:val="00944B31"/>
    <w:rsid w:val="00946080"/>
    <w:rsid w:val="009520DE"/>
    <w:rsid w:val="009536DD"/>
    <w:rsid w:val="009540F6"/>
    <w:rsid w:val="00957AB0"/>
    <w:rsid w:val="00962452"/>
    <w:rsid w:val="0096292A"/>
    <w:rsid w:val="009677EF"/>
    <w:rsid w:val="00984404"/>
    <w:rsid w:val="009B09F8"/>
    <w:rsid w:val="009B2901"/>
    <w:rsid w:val="009B7F41"/>
    <w:rsid w:val="009C2D8D"/>
    <w:rsid w:val="009C5125"/>
    <w:rsid w:val="009C584D"/>
    <w:rsid w:val="009D3F4A"/>
    <w:rsid w:val="009D74A0"/>
    <w:rsid w:val="009E057C"/>
    <w:rsid w:val="009E6B81"/>
    <w:rsid w:val="009F54DB"/>
    <w:rsid w:val="009F7516"/>
    <w:rsid w:val="00A00C72"/>
    <w:rsid w:val="00A10EAF"/>
    <w:rsid w:val="00A2366B"/>
    <w:rsid w:val="00A33DE9"/>
    <w:rsid w:val="00A40332"/>
    <w:rsid w:val="00A41162"/>
    <w:rsid w:val="00A41F7C"/>
    <w:rsid w:val="00A421ED"/>
    <w:rsid w:val="00A43118"/>
    <w:rsid w:val="00A50414"/>
    <w:rsid w:val="00A529EE"/>
    <w:rsid w:val="00A61C9C"/>
    <w:rsid w:val="00A762C0"/>
    <w:rsid w:val="00A82C15"/>
    <w:rsid w:val="00A835FC"/>
    <w:rsid w:val="00A8660C"/>
    <w:rsid w:val="00A92107"/>
    <w:rsid w:val="00A94B4A"/>
    <w:rsid w:val="00A97A25"/>
    <w:rsid w:val="00AA6921"/>
    <w:rsid w:val="00AB2C73"/>
    <w:rsid w:val="00AC192A"/>
    <w:rsid w:val="00AC4E73"/>
    <w:rsid w:val="00AC5113"/>
    <w:rsid w:val="00AD0800"/>
    <w:rsid w:val="00AD2904"/>
    <w:rsid w:val="00AD2EC0"/>
    <w:rsid w:val="00AD37F1"/>
    <w:rsid w:val="00AD7628"/>
    <w:rsid w:val="00AE11F6"/>
    <w:rsid w:val="00AF36C3"/>
    <w:rsid w:val="00B04348"/>
    <w:rsid w:val="00B04EE2"/>
    <w:rsid w:val="00B10932"/>
    <w:rsid w:val="00B172CD"/>
    <w:rsid w:val="00B2102F"/>
    <w:rsid w:val="00B21991"/>
    <w:rsid w:val="00B223BF"/>
    <w:rsid w:val="00B250C2"/>
    <w:rsid w:val="00B266FF"/>
    <w:rsid w:val="00B27407"/>
    <w:rsid w:val="00B31C9C"/>
    <w:rsid w:val="00B43DEC"/>
    <w:rsid w:val="00B47817"/>
    <w:rsid w:val="00B47B94"/>
    <w:rsid w:val="00B6324B"/>
    <w:rsid w:val="00B718BC"/>
    <w:rsid w:val="00B72089"/>
    <w:rsid w:val="00B74A4F"/>
    <w:rsid w:val="00B833AE"/>
    <w:rsid w:val="00B86CF9"/>
    <w:rsid w:val="00B93B98"/>
    <w:rsid w:val="00B93EE6"/>
    <w:rsid w:val="00B96E71"/>
    <w:rsid w:val="00BA029B"/>
    <w:rsid w:val="00BA1C2F"/>
    <w:rsid w:val="00BA21D5"/>
    <w:rsid w:val="00BB031C"/>
    <w:rsid w:val="00BB1734"/>
    <w:rsid w:val="00BB1D1D"/>
    <w:rsid w:val="00BB22CF"/>
    <w:rsid w:val="00BC2D63"/>
    <w:rsid w:val="00BC5196"/>
    <w:rsid w:val="00BC542C"/>
    <w:rsid w:val="00BC639E"/>
    <w:rsid w:val="00BC70AC"/>
    <w:rsid w:val="00BD138F"/>
    <w:rsid w:val="00BD2FB5"/>
    <w:rsid w:val="00BD6694"/>
    <w:rsid w:val="00BD7A1E"/>
    <w:rsid w:val="00BE1403"/>
    <w:rsid w:val="00BE5733"/>
    <w:rsid w:val="00BF0021"/>
    <w:rsid w:val="00BF10B7"/>
    <w:rsid w:val="00BF5C10"/>
    <w:rsid w:val="00BF7D2A"/>
    <w:rsid w:val="00BF7EA4"/>
    <w:rsid w:val="00C014EC"/>
    <w:rsid w:val="00C03FA4"/>
    <w:rsid w:val="00C04717"/>
    <w:rsid w:val="00C0590F"/>
    <w:rsid w:val="00C14845"/>
    <w:rsid w:val="00C20A7F"/>
    <w:rsid w:val="00C242FF"/>
    <w:rsid w:val="00C343E4"/>
    <w:rsid w:val="00C35DEB"/>
    <w:rsid w:val="00C37A55"/>
    <w:rsid w:val="00C43D1E"/>
    <w:rsid w:val="00C44918"/>
    <w:rsid w:val="00C47FD1"/>
    <w:rsid w:val="00C51782"/>
    <w:rsid w:val="00C614BC"/>
    <w:rsid w:val="00C658DF"/>
    <w:rsid w:val="00C8128D"/>
    <w:rsid w:val="00C815EC"/>
    <w:rsid w:val="00C822CE"/>
    <w:rsid w:val="00C85258"/>
    <w:rsid w:val="00C907F0"/>
    <w:rsid w:val="00C90867"/>
    <w:rsid w:val="00C976FE"/>
    <w:rsid w:val="00C97987"/>
    <w:rsid w:val="00CA20AF"/>
    <w:rsid w:val="00CA2436"/>
    <w:rsid w:val="00CA5511"/>
    <w:rsid w:val="00CB5BD2"/>
    <w:rsid w:val="00CC30B1"/>
    <w:rsid w:val="00CE0ABF"/>
    <w:rsid w:val="00CE1111"/>
    <w:rsid w:val="00CF0ABC"/>
    <w:rsid w:val="00D00414"/>
    <w:rsid w:val="00D00674"/>
    <w:rsid w:val="00D04848"/>
    <w:rsid w:val="00D049D7"/>
    <w:rsid w:val="00D10090"/>
    <w:rsid w:val="00D100F2"/>
    <w:rsid w:val="00D10EE7"/>
    <w:rsid w:val="00D11D8A"/>
    <w:rsid w:val="00D123D7"/>
    <w:rsid w:val="00D15236"/>
    <w:rsid w:val="00D17C75"/>
    <w:rsid w:val="00D22ADE"/>
    <w:rsid w:val="00D27852"/>
    <w:rsid w:val="00D30B0B"/>
    <w:rsid w:val="00D312F4"/>
    <w:rsid w:val="00D31767"/>
    <w:rsid w:val="00D3502E"/>
    <w:rsid w:val="00D37A4A"/>
    <w:rsid w:val="00D46834"/>
    <w:rsid w:val="00D50AAD"/>
    <w:rsid w:val="00D52B72"/>
    <w:rsid w:val="00D537AD"/>
    <w:rsid w:val="00D6097F"/>
    <w:rsid w:val="00D61151"/>
    <w:rsid w:val="00D7602C"/>
    <w:rsid w:val="00D87753"/>
    <w:rsid w:val="00D9629F"/>
    <w:rsid w:val="00DA11A2"/>
    <w:rsid w:val="00DA16C7"/>
    <w:rsid w:val="00DA3CC3"/>
    <w:rsid w:val="00DA4B05"/>
    <w:rsid w:val="00DB16FA"/>
    <w:rsid w:val="00DC0EFF"/>
    <w:rsid w:val="00DE1D24"/>
    <w:rsid w:val="00DF0E5A"/>
    <w:rsid w:val="00DF1C6B"/>
    <w:rsid w:val="00DF2C43"/>
    <w:rsid w:val="00E03123"/>
    <w:rsid w:val="00E064C4"/>
    <w:rsid w:val="00E064D5"/>
    <w:rsid w:val="00E073F2"/>
    <w:rsid w:val="00E10C79"/>
    <w:rsid w:val="00E1437C"/>
    <w:rsid w:val="00E16398"/>
    <w:rsid w:val="00E308FA"/>
    <w:rsid w:val="00E3189A"/>
    <w:rsid w:val="00E31C5A"/>
    <w:rsid w:val="00E417E4"/>
    <w:rsid w:val="00E43F83"/>
    <w:rsid w:val="00E443F9"/>
    <w:rsid w:val="00E44908"/>
    <w:rsid w:val="00E63FF1"/>
    <w:rsid w:val="00E66385"/>
    <w:rsid w:val="00E75949"/>
    <w:rsid w:val="00E853C0"/>
    <w:rsid w:val="00E868A9"/>
    <w:rsid w:val="00E92134"/>
    <w:rsid w:val="00EA0263"/>
    <w:rsid w:val="00EA11F6"/>
    <w:rsid w:val="00EA50B0"/>
    <w:rsid w:val="00EB26FF"/>
    <w:rsid w:val="00EB4A63"/>
    <w:rsid w:val="00EB6FC0"/>
    <w:rsid w:val="00EC1E2C"/>
    <w:rsid w:val="00EC21BC"/>
    <w:rsid w:val="00EC4CC3"/>
    <w:rsid w:val="00ED0CD6"/>
    <w:rsid w:val="00ED5BF9"/>
    <w:rsid w:val="00EE02A5"/>
    <w:rsid w:val="00EE0484"/>
    <w:rsid w:val="00EF1D78"/>
    <w:rsid w:val="00EF5A36"/>
    <w:rsid w:val="00EF70AF"/>
    <w:rsid w:val="00F02445"/>
    <w:rsid w:val="00F06380"/>
    <w:rsid w:val="00F11298"/>
    <w:rsid w:val="00F1289D"/>
    <w:rsid w:val="00F13AA5"/>
    <w:rsid w:val="00F228D9"/>
    <w:rsid w:val="00F260E1"/>
    <w:rsid w:val="00F27F97"/>
    <w:rsid w:val="00F30AB0"/>
    <w:rsid w:val="00F33D1C"/>
    <w:rsid w:val="00F350B0"/>
    <w:rsid w:val="00F37821"/>
    <w:rsid w:val="00F405A4"/>
    <w:rsid w:val="00F43472"/>
    <w:rsid w:val="00F43CCE"/>
    <w:rsid w:val="00F45C9A"/>
    <w:rsid w:val="00F47D60"/>
    <w:rsid w:val="00F500CB"/>
    <w:rsid w:val="00F5154C"/>
    <w:rsid w:val="00F5470A"/>
    <w:rsid w:val="00F55DBB"/>
    <w:rsid w:val="00F60249"/>
    <w:rsid w:val="00F619D6"/>
    <w:rsid w:val="00F67148"/>
    <w:rsid w:val="00F74D8F"/>
    <w:rsid w:val="00F83A64"/>
    <w:rsid w:val="00F83ADC"/>
    <w:rsid w:val="00F8750C"/>
    <w:rsid w:val="00F912BA"/>
    <w:rsid w:val="00F91D90"/>
    <w:rsid w:val="00FA6CE9"/>
    <w:rsid w:val="00FB4CBF"/>
    <w:rsid w:val="00FC2D80"/>
    <w:rsid w:val="00FD3D85"/>
    <w:rsid w:val="00FE29B8"/>
    <w:rsid w:val="00FF0814"/>
    <w:rsid w:val="00FF0CF6"/>
    <w:rsid w:val="00FF30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cs="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cs="Verdana"/>
      <w:b/>
      <w:bCs/>
      <w:cap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Verdana"/>
      <w:b/>
      <w:bCs/>
      <w:color w:val="FF5959"/>
      <w:sz w:val="28"/>
      <w:szCs w:val="28"/>
      <w:lang w:val="fr-FR" w:eastAsia="fr-FR"/>
    </w:rPr>
  </w:style>
  <w:style w:type="character" w:customStyle="1" w:styleId="Titre2Car">
    <w:name w:val="Titre 2 Car"/>
    <w:aliases w:val="ARTICLE X Car"/>
    <w:basedOn w:val="Policepardfaut"/>
    <w:link w:val="Titre2"/>
    <w:uiPriority w:val="99"/>
    <w:locked/>
    <w:rsid w:val="006F120F"/>
    <w:rPr>
      <w:rFonts w:ascii="Verdana" w:hAnsi="Verdana" w:cs="Verdana"/>
      <w:b/>
      <w:bCs/>
      <w:caps/>
      <w:color w:val="000000"/>
      <w:sz w:val="26"/>
      <w:szCs w:val="26"/>
      <w:lang w:val="fr-FR" w:eastAsia="fr-FR"/>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sz w:val="24"/>
      <w:szCs w:val="24"/>
      <w:lang w:val="fr-FR" w:eastAsia="fr-FR"/>
    </w:rPr>
  </w:style>
  <w:style w:type="character" w:customStyle="1" w:styleId="textexposedshow">
    <w:name w:val="text_exposed_show"/>
    <w:basedOn w:val="Policepardfaut"/>
    <w:uiPriority w:val="99"/>
    <w:rsid w:val="00FF0CF6"/>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b/>
      <w:bCs/>
    </w:rPr>
  </w:style>
  <w:style w:type="character" w:styleId="Accentuation">
    <w:name w:val="Emphasis"/>
    <w:basedOn w:val="Policepardfaut"/>
    <w:uiPriority w:val="99"/>
    <w:qFormat/>
    <w:locked/>
    <w:rsid w:val="00370A41"/>
    <w:rPr>
      <w:i/>
      <w:iCs/>
    </w:rPr>
  </w:style>
  <w:style w:type="paragraph" w:styleId="Textedebulles">
    <w:name w:val="Balloon Text"/>
    <w:basedOn w:val="Normal"/>
    <w:link w:val="TextedebullesCar"/>
    <w:uiPriority w:val="99"/>
    <w:semiHidden/>
    <w:rsid w:val="00C35DE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DEB"/>
    <w:rPr>
      <w:rFonts w:ascii="Tahoma" w:hAnsi="Tahoma" w:cs="Tahoma"/>
      <w:sz w:val="16"/>
      <w:szCs w:val="16"/>
    </w:rPr>
  </w:style>
  <w:style w:type="paragraph" w:styleId="Paragraphedeliste">
    <w:name w:val="List Paragraph"/>
    <w:basedOn w:val="Normal"/>
    <w:uiPriority w:val="99"/>
    <w:qFormat/>
    <w:rsid w:val="00C35DEB"/>
    <w:pPr>
      <w:ind w:left="720"/>
    </w:pPr>
  </w:style>
</w:styles>
</file>

<file path=word/webSettings.xml><?xml version="1.0" encoding="utf-8"?>
<w:webSettings xmlns:r="http://schemas.openxmlformats.org/officeDocument/2006/relationships" xmlns:w="http://schemas.openxmlformats.org/wordprocessingml/2006/main">
  <w:divs>
    <w:div w:id="2095515256">
      <w:marLeft w:val="0"/>
      <w:marRight w:val="0"/>
      <w:marTop w:val="0"/>
      <w:marBottom w:val="0"/>
      <w:divBdr>
        <w:top w:val="none" w:sz="0" w:space="0" w:color="auto"/>
        <w:left w:val="none" w:sz="0" w:space="0" w:color="auto"/>
        <w:bottom w:val="none" w:sz="0" w:space="0" w:color="auto"/>
        <w:right w:val="none" w:sz="0" w:space="0" w:color="auto"/>
      </w:divBdr>
      <w:divsChild>
        <w:div w:id="2095515258">
          <w:marLeft w:val="0"/>
          <w:marRight w:val="0"/>
          <w:marTop w:val="0"/>
          <w:marBottom w:val="0"/>
          <w:divBdr>
            <w:top w:val="none" w:sz="0" w:space="0" w:color="auto"/>
            <w:left w:val="none" w:sz="0" w:space="0" w:color="auto"/>
            <w:bottom w:val="none" w:sz="0" w:space="0" w:color="auto"/>
            <w:right w:val="none" w:sz="0" w:space="0" w:color="auto"/>
          </w:divBdr>
        </w:div>
      </w:divsChild>
    </w:div>
    <w:div w:id="2095515257">
      <w:marLeft w:val="0"/>
      <w:marRight w:val="0"/>
      <w:marTop w:val="0"/>
      <w:marBottom w:val="0"/>
      <w:divBdr>
        <w:top w:val="none" w:sz="0" w:space="0" w:color="auto"/>
        <w:left w:val="none" w:sz="0" w:space="0" w:color="auto"/>
        <w:bottom w:val="none" w:sz="0" w:space="0" w:color="auto"/>
        <w:right w:val="none" w:sz="0" w:space="0" w:color="auto"/>
      </w:divBdr>
      <w:divsChild>
        <w:div w:id="2095515259">
          <w:marLeft w:val="0"/>
          <w:marRight w:val="0"/>
          <w:marTop w:val="0"/>
          <w:marBottom w:val="0"/>
          <w:divBdr>
            <w:top w:val="none" w:sz="0" w:space="0" w:color="auto"/>
            <w:left w:val="none" w:sz="0" w:space="0" w:color="auto"/>
            <w:bottom w:val="none" w:sz="0" w:space="0" w:color="auto"/>
            <w:right w:val="none" w:sz="0" w:space="0" w:color="auto"/>
          </w:divBdr>
        </w:div>
      </w:divsChild>
    </w:div>
    <w:div w:id="2095515262">
      <w:marLeft w:val="0"/>
      <w:marRight w:val="0"/>
      <w:marTop w:val="0"/>
      <w:marBottom w:val="0"/>
      <w:divBdr>
        <w:top w:val="none" w:sz="0" w:space="0" w:color="auto"/>
        <w:left w:val="none" w:sz="0" w:space="0" w:color="auto"/>
        <w:bottom w:val="none" w:sz="0" w:space="0" w:color="auto"/>
        <w:right w:val="none" w:sz="0" w:space="0" w:color="auto"/>
      </w:divBdr>
    </w:div>
    <w:div w:id="2095515263">
      <w:marLeft w:val="0"/>
      <w:marRight w:val="0"/>
      <w:marTop w:val="0"/>
      <w:marBottom w:val="0"/>
      <w:divBdr>
        <w:top w:val="none" w:sz="0" w:space="0" w:color="auto"/>
        <w:left w:val="none" w:sz="0" w:space="0" w:color="auto"/>
        <w:bottom w:val="none" w:sz="0" w:space="0" w:color="auto"/>
        <w:right w:val="none" w:sz="0" w:space="0" w:color="auto"/>
      </w:divBdr>
    </w:div>
    <w:div w:id="2095515264">
      <w:marLeft w:val="0"/>
      <w:marRight w:val="0"/>
      <w:marTop w:val="0"/>
      <w:marBottom w:val="0"/>
      <w:divBdr>
        <w:top w:val="none" w:sz="0" w:space="0" w:color="auto"/>
        <w:left w:val="none" w:sz="0" w:space="0" w:color="auto"/>
        <w:bottom w:val="none" w:sz="0" w:space="0" w:color="auto"/>
        <w:right w:val="none" w:sz="0" w:space="0" w:color="auto"/>
      </w:divBdr>
    </w:div>
    <w:div w:id="2095515266">
      <w:marLeft w:val="0"/>
      <w:marRight w:val="0"/>
      <w:marTop w:val="0"/>
      <w:marBottom w:val="0"/>
      <w:divBdr>
        <w:top w:val="none" w:sz="0" w:space="0" w:color="auto"/>
        <w:left w:val="none" w:sz="0" w:space="0" w:color="auto"/>
        <w:bottom w:val="none" w:sz="0" w:space="0" w:color="auto"/>
        <w:right w:val="none" w:sz="0" w:space="0" w:color="auto"/>
      </w:divBdr>
      <w:divsChild>
        <w:div w:id="2095515265">
          <w:marLeft w:val="0"/>
          <w:marRight w:val="0"/>
          <w:marTop w:val="0"/>
          <w:marBottom w:val="0"/>
          <w:divBdr>
            <w:top w:val="none" w:sz="0" w:space="0" w:color="auto"/>
            <w:left w:val="none" w:sz="0" w:space="0" w:color="auto"/>
            <w:bottom w:val="none" w:sz="0" w:space="0" w:color="auto"/>
            <w:right w:val="none" w:sz="0" w:space="0" w:color="auto"/>
          </w:divBdr>
        </w:div>
        <w:div w:id="2095515267">
          <w:marLeft w:val="0"/>
          <w:marRight w:val="0"/>
          <w:marTop w:val="0"/>
          <w:marBottom w:val="0"/>
          <w:divBdr>
            <w:top w:val="none" w:sz="0" w:space="0" w:color="auto"/>
            <w:left w:val="none" w:sz="0" w:space="0" w:color="auto"/>
            <w:bottom w:val="none" w:sz="0" w:space="0" w:color="auto"/>
            <w:right w:val="none" w:sz="0" w:space="0" w:color="auto"/>
          </w:divBdr>
        </w:div>
        <w:div w:id="2095515268">
          <w:marLeft w:val="0"/>
          <w:marRight w:val="0"/>
          <w:marTop w:val="0"/>
          <w:marBottom w:val="0"/>
          <w:divBdr>
            <w:top w:val="none" w:sz="0" w:space="0" w:color="auto"/>
            <w:left w:val="none" w:sz="0" w:space="0" w:color="auto"/>
            <w:bottom w:val="none" w:sz="0" w:space="0" w:color="auto"/>
            <w:right w:val="none" w:sz="0" w:space="0" w:color="auto"/>
          </w:divBdr>
        </w:div>
        <w:div w:id="2095515269">
          <w:marLeft w:val="0"/>
          <w:marRight w:val="0"/>
          <w:marTop w:val="0"/>
          <w:marBottom w:val="0"/>
          <w:divBdr>
            <w:top w:val="none" w:sz="0" w:space="0" w:color="auto"/>
            <w:left w:val="none" w:sz="0" w:space="0" w:color="auto"/>
            <w:bottom w:val="none" w:sz="0" w:space="0" w:color="auto"/>
            <w:right w:val="none" w:sz="0" w:space="0" w:color="auto"/>
          </w:divBdr>
        </w:div>
      </w:divsChild>
    </w:div>
    <w:div w:id="2095515270">
      <w:marLeft w:val="0"/>
      <w:marRight w:val="0"/>
      <w:marTop w:val="0"/>
      <w:marBottom w:val="0"/>
      <w:divBdr>
        <w:top w:val="none" w:sz="0" w:space="0" w:color="auto"/>
        <w:left w:val="none" w:sz="0" w:space="0" w:color="auto"/>
        <w:bottom w:val="none" w:sz="0" w:space="0" w:color="auto"/>
        <w:right w:val="none" w:sz="0" w:space="0" w:color="auto"/>
      </w:divBdr>
    </w:div>
    <w:div w:id="2095515271">
      <w:marLeft w:val="0"/>
      <w:marRight w:val="0"/>
      <w:marTop w:val="0"/>
      <w:marBottom w:val="0"/>
      <w:divBdr>
        <w:top w:val="none" w:sz="0" w:space="0" w:color="auto"/>
        <w:left w:val="none" w:sz="0" w:space="0" w:color="auto"/>
        <w:bottom w:val="none" w:sz="0" w:space="0" w:color="auto"/>
        <w:right w:val="none" w:sz="0" w:space="0" w:color="auto"/>
      </w:divBdr>
    </w:div>
    <w:div w:id="2095515281">
      <w:marLeft w:val="0"/>
      <w:marRight w:val="0"/>
      <w:marTop w:val="0"/>
      <w:marBottom w:val="0"/>
      <w:divBdr>
        <w:top w:val="none" w:sz="0" w:space="0" w:color="auto"/>
        <w:left w:val="none" w:sz="0" w:space="0" w:color="auto"/>
        <w:bottom w:val="none" w:sz="0" w:space="0" w:color="auto"/>
        <w:right w:val="none" w:sz="0" w:space="0" w:color="auto"/>
      </w:divBdr>
      <w:divsChild>
        <w:div w:id="2095515272">
          <w:marLeft w:val="0"/>
          <w:marRight w:val="0"/>
          <w:marTop w:val="0"/>
          <w:marBottom w:val="0"/>
          <w:divBdr>
            <w:top w:val="none" w:sz="0" w:space="0" w:color="auto"/>
            <w:left w:val="none" w:sz="0" w:space="0" w:color="auto"/>
            <w:bottom w:val="none" w:sz="0" w:space="0" w:color="auto"/>
            <w:right w:val="none" w:sz="0" w:space="0" w:color="auto"/>
          </w:divBdr>
        </w:div>
        <w:div w:id="2095515273">
          <w:marLeft w:val="0"/>
          <w:marRight w:val="0"/>
          <w:marTop w:val="0"/>
          <w:marBottom w:val="0"/>
          <w:divBdr>
            <w:top w:val="none" w:sz="0" w:space="0" w:color="auto"/>
            <w:left w:val="none" w:sz="0" w:space="0" w:color="auto"/>
            <w:bottom w:val="none" w:sz="0" w:space="0" w:color="auto"/>
            <w:right w:val="none" w:sz="0" w:space="0" w:color="auto"/>
          </w:divBdr>
        </w:div>
        <w:div w:id="2095515274">
          <w:marLeft w:val="0"/>
          <w:marRight w:val="0"/>
          <w:marTop w:val="0"/>
          <w:marBottom w:val="0"/>
          <w:divBdr>
            <w:top w:val="none" w:sz="0" w:space="0" w:color="auto"/>
            <w:left w:val="none" w:sz="0" w:space="0" w:color="auto"/>
            <w:bottom w:val="none" w:sz="0" w:space="0" w:color="auto"/>
            <w:right w:val="none" w:sz="0" w:space="0" w:color="auto"/>
          </w:divBdr>
        </w:div>
        <w:div w:id="2095515275">
          <w:marLeft w:val="0"/>
          <w:marRight w:val="0"/>
          <w:marTop w:val="0"/>
          <w:marBottom w:val="0"/>
          <w:divBdr>
            <w:top w:val="none" w:sz="0" w:space="0" w:color="auto"/>
            <w:left w:val="none" w:sz="0" w:space="0" w:color="auto"/>
            <w:bottom w:val="none" w:sz="0" w:space="0" w:color="auto"/>
            <w:right w:val="none" w:sz="0" w:space="0" w:color="auto"/>
          </w:divBdr>
        </w:div>
        <w:div w:id="2095515276">
          <w:marLeft w:val="0"/>
          <w:marRight w:val="0"/>
          <w:marTop w:val="0"/>
          <w:marBottom w:val="0"/>
          <w:divBdr>
            <w:top w:val="none" w:sz="0" w:space="0" w:color="auto"/>
            <w:left w:val="none" w:sz="0" w:space="0" w:color="auto"/>
            <w:bottom w:val="none" w:sz="0" w:space="0" w:color="auto"/>
            <w:right w:val="none" w:sz="0" w:space="0" w:color="auto"/>
          </w:divBdr>
        </w:div>
        <w:div w:id="2095515277">
          <w:marLeft w:val="0"/>
          <w:marRight w:val="0"/>
          <w:marTop w:val="0"/>
          <w:marBottom w:val="0"/>
          <w:divBdr>
            <w:top w:val="none" w:sz="0" w:space="0" w:color="auto"/>
            <w:left w:val="none" w:sz="0" w:space="0" w:color="auto"/>
            <w:bottom w:val="none" w:sz="0" w:space="0" w:color="auto"/>
            <w:right w:val="none" w:sz="0" w:space="0" w:color="auto"/>
          </w:divBdr>
        </w:div>
        <w:div w:id="2095515278">
          <w:marLeft w:val="0"/>
          <w:marRight w:val="0"/>
          <w:marTop w:val="0"/>
          <w:marBottom w:val="0"/>
          <w:divBdr>
            <w:top w:val="none" w:sz="0" w:space="0" w:color="auto"/>
            <w:left w:val="none" w:sz="0" w:space="0" w:color="auto"/>
            <w:bottom w:val="none" w:sz="0" w:space="0" w:color="auto"/>
            <w:right w:val="none" w:sz="0" w:space="0" w:color="auto"/>
          </w:divBdr>
        </w:div>
        <w:div w:id="2095515279">
          <w:marLeft w:val="0"/>
          <w:marRight w:val="0"/>
          <w:marTop w:val="0"/>
          <w:marBottom w:val="0"/>
          <w:divBdr>
            <w:top w:val="none" w:sz="0" w:space="0" w:color="auto"/>
            <w:left w:val="none" w:sz="0" w:space="0" w:color="auto"/>
            <w:bottom w:val="none" w:sz="0" w:space="0" w:color="auto"/>
            <w:right w:val="none" w:sz="0" w:space="0" w:color="auto"/>
          </w:divBdr>
        </w:div>
        <w:div w:id="2095515280">
          <w:marLeft w:val="0"/>
          <w:marRight w:val="0"/>
          <w:marTop w:val="0"/>
          <w:marBottom w:val="0"/>
          <w:divBdr>
            <w:top w:val="none" w:sz="0" w:space="0" w:color="auto"/>
            <w:left w:val="none" w:sz="0" w:space="0" w:color="auto"/>
            <w:bottom w:val="none" w:sz="0" w:space="0" w:color="auto"/>
            <w:right w:val="none" w:sz="0" w:space="0" w:color="auto"/>
          </w:divBdr>
        </w:div>
        <w:div w:id="2095515282">
          <w:marLeft w:val="0"/>
          <w:marRight w:val="0"/>
          <w:marTop w:val="0"/>
          <w:marBottom w:val="0"/>
          <w:divBdr>
            <w:top w:val="none" w:sz="0" w:space="0" w:color="auto"/>
            <w:left w:val="none" w:sz="0" w:space="0" w:color="auto"/>
            <w:bottom w:val="none" w:sz="0" w:space="0" w:color="auto"/>
            <w:right w:val="none" w:sz="0" w:space="0" w:color="auto"/>
          </w:divBdr>
        </w:div>
      </w:divsChild>
    </w:div>
    <w:div w:id="2095515283">
      <w:marLeft w:val="0"/>
      <w:marRight w:val="0"/>
      <w:marTop w:val="0"/>
      <w:marBottom w:val="0"/>
      <w:divBdr>
        <w:top w:val="none" w:sz="0" w:space="0" w:color="auto"/>
        <w:left w:val="none" w:sz="0" w:space="0" w:color="auto"/>
        <w:bottom w:val="none" w:sz="0" w:space="0" w:color="auto"/>
        <w:right w:val="none" w:sz="0" w:space="0" w:color="auto"/>
      </w:divBdr>
    </w:div>
    <w:div w:id="2095515284">
      <w:marLeft w:val="0"/>
      <w:marRight w:val="0"/>
      <w:marTop w:val="0"/>
      <w:marBottom w:val="0"/>
      <w:divBdr>
        <w:top w:val="none" w:sz="0" w:space="0" w:color="auto"/>
        <w:left w:val="none" w:sz="0" w:space="0" w:color="auto"/>
        <w:bottom w:val="none" w:sz="0" w:space="0" w:color="auto"/>
        <w:right w:val="none" w:sz="0" w:space="0" w:color="auto"/>
      </w:divBdr>
      <w:divsChild>
        <w:div w:id="2095515260">
          <w:marLeft w:val="0"/>
          <w:marRight w:val="0"/>
          <w:marTop w:val="0"/>
          <w:marBottom w:val="0"/>
          <w:divBdr>
            <w:top w:val="none" w:sz="0" w:space="0" w:color="auto"/>
            <w:left w:val="none" w:sz="0" w:space="0" w:color="auto"/>
            <w:bottom w:val="none" w:sz="0" w:space="0" w:color="auto"/>
            <w:right w:val="none" w:sz="0" w:space="0" w:color="auto"/>
          </w:divBdr>
        </w:div>
        <w:div w:id="2095515261">
          <w:marLeft w:val="0"/>
          <w:marRight w:val="0"/>
          <w:marTop w:val="0"/>
          <w:marBottom w:val="0"/>
          <w:divBdr>
            <w:top w:val="none" w:sz="0" w:space="0" w:color="auto"/>
            <w:left w:val="none" w:sz="0" w:space="0" w:color="auto"/>
            <w:bottom w:val="none" w:sz="0" w:space="0" w:color="auto"/>
            <w:right w:val="none" w:sz="0" w:space="0" w:color="auto"/>
          </w:divBdr>
        </w:div>
        <w:div w:id="2095515285">
          <w:marLeft w:val="0"/>
          <w:marRight w:val="0"/>
          <w:marTop w:val="0"/>
          <w:marBottom w:val="0"/>
          <w:divBdr>
            <w:top w:val="none" w:sz="0" w:space="0" w:color="auto"/>
            <w:left w:val="none" w:sz="0" w:space="0" w:color="auto"/>
            <w:bottom w:val="none" w:sz="0" w:space="0" w:color="auto"/>
            <w:right w:val="none" w:sz="0" w:space="0" w:color="auto"/>
          </w:divBdr>
        </w:div>
        <w:div w:id="2095515286">
          <w:marLeft w:val="0"/>
          <w:marRight w:val="0"/>
          <w:marTop w:val="0"/>
          <w:marBottom w:val="0"/>
          <w:divBdr>
            <w:top w:val="none" w:sz="0" w:space="0" w:color="auto"/>
            <w:left w:val="none" w:sz="0" w:space="0" w:color="auto"/>
            <w:bottom w:val="none" w:sz="0" w:space="0" w:color="auto"/>
            <w:right w:val="none" w:sz="0" w:space="0" w:color="auto"/>
          </w:divBdr>
        </w:div>
      </w:divsChild>
    </w:div>
    <w:div w:id="2095515287">
      <w:marLeft w:val="0"/>
      <w:marRight w:val="0"/>
      <w:marTop w:val="0"/>
      <w:marBottom w:val="0"/>
      <w:divBdr>
        <w:top w:val="none" w:sz="0" w:space="0" w:color="auto"/>
        <w:left w:val="none" w:sz="0" w:space="0" w:color="auto"/>
        <w:bottom w:val="none" w:sz="0" w:space="0" w:color="auto"/>
        <w:right w:val="none" w:sz="0" w:space="0" w:color="auto"/>
      </w:divBdr>
    </w:div>
    <w:div w:id="2095515288">
      <w:marLeft w:val="0"/>
      <w:marRight w:val="0"/>
      <w:marTop w:val="0"/>
      <w:marBottom w:val="0"/>
      <w:divBdr>
        <w:top w:val="none" w:sz="0" w:space="0" w:color="auto"/>
        <w:left w:val="none" w:sz="0" w:space="0" w:color="auto"/>
        <w:bottom w:val="none" w:sz="0" w:space="0" w:color="auto"/>
        <w:right w:val="none" w:sz="0" w:space="0" w:color="auto"/>
      </w:divBdr>
    </w:div>
    <w:div w:id="2095515289">
      <w:marLeft w:val="0"/>
      <w:marRight w:val="0"/>
      <w:marTop w:val="0"/>
      <w:marBottom w:val="0"/>
      <w:divBdr>
        <w:top w:val="none" w:sz="0" w:space="0" w:color="auto"/>
        <w:left w:val="none" w:sz="0" w:space="0" w:color="auto"/>
        <w:bottom w:val="none" w:sz="0" w:space="0" w:color="auto"/>
        <w:right w:val="none" w:sz="0" w:space="0" w:color="auto"/>
      </w:divBdr>
    </w:div>
    <w:div w:id="2095515294">
      <w:marLeft w:val="0"/>
      <w:marRight w:val="0"/>
      <w:marTop w:val="0"/>
      <w:marBottom w:val="0"/>
      <w:divBdr>
        <w:top w:val="none" w:sz="0" w:space="0" w:color="auto"/>
        <w:left w:val="none" w:sz="0" w:space="0" w:color="auto"/>
        <w:bottom w:val="none" w:sz="0" w:space="0" w:color="auto"/>
        <w:right w:val="none" w:sz="0" w:space="0" w:color="auto"/>
      </w:divBdr>
    </w:div>
    <w:div w:id="2095515296">
      <w:marLeft w:val="0"/>
      <w:marRight w:val="0"/>
      <w:marTop w:val="0"/>
      <w:marBottom w:val="0"/>
      <w:divBdr>
        <w:top w:val="none" w:sz="0" w:space="0" w:color="auto"/>
        <w:left w:val="none" w:sz="0" w:space="0" w:color="auto"/>
        <w:bottom w:val="none" w:sz="0" w:space="0" w:color="auto"/>
        <w:right w:val="none" w:sz="0" w:space="0" w:color="auto"/>
      </w:divBdr>
      <w:divsChild>
        <w:div w:id="2095515291">
          <w:marLeft w:val="0"/>
          <w:marRight w:val="0"/>
          <w:marTop w:val="0"/>
          <w:marBottom w:val="0"/>
          <w:divBdr>
            <w:top w:val="none" w:sz="0" w:space="0" w:color="auto"/>
            <w:left w:val="none" w:sz="0" w:space="0" w:color="auto"/>
            <w:bottom w:val="none" w:sz="0" w:space="0" w:color="auto"/>
            <w:right w:val="none" w:sz="0" w:space="0" w:color="auto"/>
          </w:divBdr>
          <w:divsChild>
            <w:div w:id="2095515292">
              <w:marLeft w:val="0"/>
              <w:marRight w:val="0"/>
              <w:marTop w:val="0"/>
              <w:marBottom w:val="0"/>
              <w:divBdr>
                <w:top w:val="none" w:sz="0" w:space="0" w:color="auto"/>
                <w:left w:val="none" w:sz="0" w:space="0" w:color="auto"/>
                <w:bottom w:val="none" w:sz="0" w:space="0" w:color="auto"/>
                <w:right w:val="none" w:sz="0" w:space="0" w:color="auto"/>
              </w:divBdr>
            </w:div>
            <w:div w:id="2095515293">
              <w:marLeft w:val="0"/>
              <w:marRight w:val="0"/>
              <w:marTop w:val="0"/>
              <w:marBottom w:val="0"/>
              <w:divBdr>
                <w:top w:val="none" w:sz="0" w:space="0" w:color="auto"/>
                <w:left w:val="none" w:sz="0" w:space="0" w:color="auto"/>
                <w:bottom w:val="none" w:sz="0" w:space="0" w:color="auto"/>
                <w:right w:val="none" w:sz="0" w:space="0" w:color="auto"/>
              </w:divBdr>
            </w:div>
            <w:div w:id="2095515295">
              <w:marLeft w:val="0"/>
              <w:marRight w:val="0"/>
              <w:marTop w:val="0"/>
              <w:marBottom w:val="0"/>
              <w:divBdr>
                <w:top w:val="none" w:sz="0" w:space="0" w:color="auto"/>
                <w:left w:val="none" w:sz="0" w:space="0" w:color="auto"/>
                <w:bottom w:val="none" w:sz="0" w:space="0" w:color="auto"/>
                <w:right w:val="none" w:sz="0" w:space="0" w:color="auto"/>
              </w:divBdr>
            </w:div>
          </w:divsChild>
        </w:div>
        <w:div w:id="2095515297">
          <w:marLeft w:val="0"/>
          <w:marRight w:val="0"/>
          <w:marTop w:val="120"/>
          <w:marBottom w:val="0"/>
          <w:divBdr>
            <w:top w:val="none" w:sz="0" w:space="0" w:color="auto"/>
            <w:left w:val="none" w:sz="0" w:space="0" w:color="auto"/>
            <w:bottom w:val="none" w:sz="0" w:space="0" w:color="auto"/>
            <w:right w:val="none" w:sz="0" w:space="0" w:color="auto"/>
          </w:divBdr>
          <w:divsChild>
            <w:div w:id="20955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301">
      <w:marLeft w:val="0"/>
      <w:marRight w:val="0"/>
      <w:marTop w:val="0"/>
      <w:marBottom w:val="0"/>
      <w:divBdr>
        <w:top w:val="none" w:sz="0" w:space="0" w:color="auto"/>
        <w:left w:val="none" w:sz="0" w:space="0" w:color="auto"/>
        <w:bottom w:val="none" w:sz="0" w:space="0" w:color="auto"/>
        <w:right w:val="none" w:sz="0" w:space="0" w:color="auto"/>
      </w:divBdr>
      <w:divsChild>
        <w:div w:id="2095515300">
          <w:marLeft w:val="860"/>
          <w:marRight w:val="860"/>
          <w:marTop w:val="240"/>
          <w:marBottom w:val="240"/>
          <w:divBdr>
            <w:top w:val="none" w:sz="0" w:space="0" w:color="auto"/>
            <w:left w:val="none" w:sz="0" w:space="0" w:color="auto"/>
            <w:bottom w:val="none" w:sz="0" w:space="0" w:color="auto"/>
            <w:right w:val="none" w:sz="0" w:space="0" w:color="auto"/>
          </w:divBdr>
          <w:divsChild>
            <w:div w:id="2095515302">
              <w:marLeft w:val="0"/>
              <w:marRight w:val="0"/>
              <w:marTop w:val="0"/>
              <w:marBottom w:val="0"/>
              <w:divBdr>
                <w:top w:val="none" w:sz="0" w:space="0" w:color="auto"/>
                <w:left w:val="none" w:sz="0" w:space="0" w:color="auto"/>
                <w:bottom w:val="none" w:sz="0" w:space="0" w:color="auto"/>
                <w:right w:val="none" w:sz="0" w:space="0" w:color="auto"/>
              </w:divBdr>
              <w:divsChild>
                <w:div w:id="2095515303">
                  <w:marLeft w:val="107"/>
                  <w:marRight w:val="0"/>
                  <w:marTop w:val="0"/>
                  <w:marBottom w:val="0"/>
                  <w:divBdr>
                    <w:top w:val="none" w:sz="0" w:space="0" w:color="auto"/>
                    <w:left w:val="single" w:sz="18" w:space="5" w:color="22437F"/>
                    <w:bottom w:val="none" w:sz="0" w:space="0" w:color="auto"/>
                    <w:right w:val="none" w:sz="0" w:space="0" w:color="auto"/>
                  </w:divBdr>
                  <w:divsChild>
                    <w:div w:id="2095515298">
                      <w:marLeft w:val="0"/>
                      <w:marRight w:val="0"/>
                      <w:marTop w:val="0"/>
                      <w:marBottom w:val="0"/>
                      <w:divBdr>
                        <w:top w:val="none" w:sz="0" w:space="0" w:color="auto"/>
                        <w:left w:val="none" w:sz="0" w:space="0" w:color="auto"/>
                        <w:bottom w:val="none" w:sz="0" w:space="0" w:color="auto"/>
                        <w:right w:val="none" w:sz="0" w:space="0" w:color="auto"/>
                      </w:divBdr>
                      <w:divsChild>
                        <w:div w:id="20955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669</Words>
  <Characters>3683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5</cp:revision>
  <cp:lastPrinted>2025-02-21T08:21:00Z</cp:lastPrinted>
  <dcterms:created xsi:type="dcterms:W3CDTF">2025-04-10T11:15:00Z</dcterms:created>
  <dcterms:modified xsi:type="dcterms:W3CDTF">2025-04-14T15:57:00Z</dcterms:modified>
</cp:coreProperties>
</file>