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D9" w:rsidRDefault="00124572" w:rsidP="00060684">
      <w:pPr>
        <w:jc w:val="cent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-342900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BF3DD9">
        <w:t>COMMUNE D’AUSSAC-VADALLE</w:t>
      </w:r>
    </w:p>
    <w:p w:rsidR="00BF3DD9" w:rsidRPr="004D439D" w:rsidRDefault="00BF3DD9" w:rsidP="00060684">
      <w:pPr>
        <w:pStyle w:val="Sous-titre"/>
        <w:rPr>
          <w:sz w:val="16"/>
          <w:szCs w:val="16"/>
        </w:rPr>
      </w:pPr>
      <w:r>
        <w:t>Feuille d'informations municipales</w:t>
      </w:r>
    </w:p>
    <w:p w:rsidR="00BF3DD9" w:rsidRDefault="00BF3DD9" w:rsidP="00060684">
      <w:pPr>
        <w:jc w:val="center"/>
        <w:rPr>
          <w:rFonts w:ascii="Arial Narrow" w:hAnsi="Arial Narrow"/>
          <w:sz w:val="16"/>
          <w:szCs w:val="16"/>
        </w:rPr>
      </w:pPr>
      <w:r>
        <w:rPr>
          <w:rFonts w:ascii="Arial Narrow" w:hAnsi="Arial Narrow"/>
          <w:sz w:val="16"/>
          <w:szCs w:val="16"/>
        </w:rPr>
        <w:t> </w:t>
      </w:r>
    </w:p>
    <w:p w:rsidR="00BF3DD9" w:rsidRDefault="00BF3DD9" w:rsidP="00060684">
      <w:pPr>
        <w:tabs>
          <w:tab w:val="left" w:pos="4320"/>
        </w:tabs>
        <w:jc w:val="center"/>
        <w:rPr>
          <w:rFonts w:ascii="Arial Narrow" w:hAnsi="Arial Narrow"/>
          <w:b/>
          <w:bCs/>
        </w:rPr>
      </w:pPr>
      <w:r>
        <w:rPr>
          <w:rFonts w:ascii="Arial Narrow" w:hAnsi="Arial Narrow"/>
          <w:b/>
          <w:bCs/>
        </w:rPr>
        <w:t>N°208 du lundi 23 avril 2018</w:t>
      </w:r>
    </w:p>
    <w:p w:rsidR="00BF3DD9" w:rsidRDefault="00BF3DD9" w:rsidP="00060684">
      <w:pPr>
        <w:pStyle w:val="Rpertoire"/>
        <w:suppressLineNumbers w:val="0"/>
      </w:pPr>
      <w:r>
        <w:tab/>
      </w:r>
      <w:r>
        <w:tab/>
      </w:r>
      <w:r>
        <w:tab/>
      </w:r>
      <w:r>
        <w:rPr>
          <w:sz w:val="16"/>
          <w:szCs w:val="16"/>
        </w:rPr>
        <w:t> </w:t>
      </w:r>
      <w:r>
        <w:t>   </w:t>
      </w:r>
    </w:p>
    <w:p w:rsidR="00BF3DD9" w:rsidRDefault="00BF3DD9" w:rsidP="00060684">
      <w:pPr>
        <w:jc w:val="both"/>
      </w:pPr>
      <w:r>
        <w:rPr>
          <w:b/>
          <w:bCs/>
          <w:u w:val="single"/>
        </w:rPr>
        <w:t xml:space="preserve">Mot du Maire </w:t>
      </w:r>
      <w:r>
        <w:t>:</w:t>
      </w:r>
    </w:p>
    <w:p w:rsidR="00BF3DD9" w:rsidRPr="00866D07" w:rsidRDefault="00BF3DD9" w:rsidP="00060684"/>
    <w:p w:rsidR="00BF3DD9" w:rsidRDefault="00BF3DD9" w:rsidP="00060684">
      <w:r w:rsidRPr="00866D07">
        <w:t>Le Conseil M</w:t>
      </w:r>
      <w:r>
        <w:t>unicipal a décidé de maintenir s</w:t>
      </w:r>
      <w:r w:rsidRPr="00866D07">
        <w:t xml:space="preserve">es objectifs </w:t>
      </w:r>
      <w:r>
        <w:t>en matière d’investissement, bien que notre dotation de fonctionnement 2018 subisse à nouveau une baisse. Elle est partiellement compensée par le maintien du soutien financier de l’Etat et du Département à l’investissement.</w:t>
      </w:r>
    </w:p>
    <w:p w:rsidR="00BF3DD9" w:rsidRPr="00866D07" w:rsidRDefault="00BF3DD9" w:rsidP="00060684">
      <w:r w:rsidRPr="007A41ED">
        <w:rPr>
          <w:b/>
          <w:u w:val="single"/>
        </w:rPr>
        <w:t>Les impôts communaux ne seront pas augmentés</w:t>
      </w:r>
      <w:r>
        <w:t xml:space="preserve"> cette année encore. Nous avons privilégié la recherche de recettes nouvelles via les activités économiques. C’est ainsi que nous avons compensé pour 2018 la baisse annuelle des dotations et nous avons une perspective intéressante  pour 2021-2022, quand le nouveau parc éolien au bord de la RN10 sera construit ainsi que celui de « Saint Angeau-Coulgens » pour lequel une éolienne sera implantée sur notre commune. Nous avons également sollicité les entreprises locales pour participer au titre du mécénat à nos investissements. La Société GSM a répondu favorablement pour le terrain de loisirs de Vadalle et nous aurons l’occasion de souligner leur participation lors de la prochaine inauguration de cet équipement. L’augmentation de la population apportera également un complément de dotation de l’Etat, mais génère déjà un besoin nouveau en équipement et service.</w:t>
      </w:r>
    </w:p>
    <w:p w:rsidR="00BF3DD9" w:rsidRDefault="00BF3DD9" w:rsidP="00060684">
      <w:r>
        <w:t>L’aménagement de la traverse d’Aussac est le projet le plus important de ce mandat et cette année nous avons prévu un aménagement de sécurité sur la RD15 pour l’accès au multiple rural, ainsi qu’un dispositif ralentisseur rue de Fraiche bise.</w:t>
      </w:r>
    </w:p>
    <w:p w:rsidR="00BF3DD9" w:rsidRPr="00866D07" w:rsidRDefault="00BF3DD9" w:rsidP="00060684">
      <w:r>
        <w:t>Nous avons décidé de soutenir l’activité du multiple rural de Vadalle en consentant un prêt de 4000 € pour l’acquisition d’équipement.</w:t>
      </w:r>
    </w:p>
    <w:p w:rsidR="00BF3DD9" w:rsidRPr="008F2A78" w:rsidRDefault="00BF3DD9" w:rsidP="00060684">
      <w:pPr>
        <w:rPr>
          <w:sz w:val="20"/>
          <w:szCs w:val="20"/>
        </w:rPr>
      </w:pPr>
    </w:p>
    <w:p w:rsidR="00BF3DD9" w:rsidRDefault="00BF3DD9" w:rsidP="00060684">
      <w:pPr>
        <w:jc w:val="both"/>
        <w:rPr>
          <w:b/>
          <w:bCs/>
          <w:u w:val="single"/>
        </w:rPr>
      </w:pPr>
      <w:r>
        <w:rPr>
          <w:b/>
          <w:bCs/>
          <w:u w:val="single"/>
        </w:rPr>
        <w:t>Budget 2018 :</w:t>
      </w:r>
    </w:p>
    <w:p w:rsidR="00BF3DD9" w:rsidRPr="008F2A78" w:rsidRDefault="00BF3DD9" w:rsidP="00060684">
      <w:pPr>
        <w:jc w:val="both"/>
        <w:rPr>
          <w:b/>
          <w:bCs/>
          <w:sz w:val="20"/>
          <w:u w:val="single"/>
        </w:rPr>
      </w:pPr>
    </w:p>
    <w:p w:rsidR="00BF3DD9" w:rsidRPr="00D15236" w:rsidRDefault="00BF3DD9" w:rsidP="00D15236">
      <w:pPr>
        <w:jc w:val="center"/>
        <w:rPr>
          <w:b/>
          <w:i/>
          <w:sz w:val="20"/>
          <w:szCs w:val="20"/>
        </w:rPr>
      </w:pPr>
      <w:r w:rsidRPr="00D15236">
        <w:rPr>
          <w:b/>
          <w:i/>
        </w:rPr>
        <w:t xml:space="preserve">Le budget </w:t>
      </w:r>
      <w:smartTag w:uri="urn:schemas-microsoft-com:office:smarttags" w:element="metricconverter">
        <w:smartTagPr>
          <w:attr w:name="ProductID" w:val="2018 a"/>
        </w:smartTagPr>
        <w:r w:rsidRPr="00D15236">
          <w:rPr>
            <w:b/>
            <w:i/>
          </w:rPr>
          <w:t>2018 a</w:t>
        </w:r>
      </w:smartTag>
      <w:r w:rsidRPr="00D15236">
        <w:rPr>
          <w:b/>
          <w:i/>
        </w:rPr>
        <w:t xml:space="preserve"> été voté à l’unanimité le mercredi 11 avril pour un total de 1 013 482, 73 €.</w:t>
      </w:r>
    </w:p>
    <w:p w:rsidR="00BF3DD9" w:rsidRDefault="00BF3DD9" w:rsidP="00060684">
      <w:pPr>
        <w:jc w:val="center"/>
        <w:rPr>
          <w:b/>
          <w:sz w:val="20"/>
          <w:szCs w:val="20"/>
          <w:u w:val="single"/>
        </w:rPr>
      </w:pPr>
      <w:r>
        <w:rPr>
          <w:b/>
          <w:bCs/>
          <w:sz w:val="20"/>
          <w:szCs w:val="20"/>
          <w:u w:val="single"/>
        </w:rPr>
        <w:t xml:space="preserve">Section </w:t>
      </w:r>
      <w:r>
        <w:rPr>
          <w:b/>
          <w:sz w:val="20"/>
          <w:szCs w:val="20"/>
          <w:u w:val="single"/>
        </w:rPr>
        <w:t>Fonctionnement</w:t>
      </w:r>
    </w:p>
    <w:tbl>
      <w:tblPr>
        <w:tblW w:w="9401" w:type="dxa"/>
        <w:jc w:val="center"/>
        <w:tblInd w:w="-72" w:type="dxa"/>
        <w:tblLayout w:type="fixed"/>
        <w:tblLook w:val="0000"/>
      </w:tblPr>
      <w:tblGrid>
        <w:gridCol w:w="3085"/>
        <w:gridCol w:w="1521"/>
        <w:gridCol w:w="3332"/>
        <w:gridCol w:w="1463"/>
      </w:tblGrid>
      <w:tr w:rsidR="00BF3DD9" w:rsidTr="00BA1280">
        <w:trPr>
          <w:cantSplit/>
          <w:jc w:val="center"/>
        </w:trPr>
        <w:tc>
          <w:tcPr>
            <w:tcW w:w="4606" w:type="dxa"/>
            <w:gridSpan w:val="2"/>
            <w:tcBorders>
              <w:top w:val="single" w:sz="2" w:space="0" w:color="000000"/>
              <w:left w:val="single" w:sz="2" w:space="0" w:color="000000"/>
              <w:bottom w:val="single" w:sz="2" w:space="0" w:color="000000"/>
              <w:right w:val="nil"/>
            </w:tcBorders>
          </w:tcPr>
          <w:p w:rsidR="00BF3DD9" w:rsidRDefault="00BF3DD9" w:rsidP="00BA1280">
            <w:pPr>
              <w:tabs>
                <w:tab w:val="left" w:pos="6946"/>
                <w:tab w:val="left" w:pos="8931"/>
              </w:tabs>
              <w:snapToGrid w:val="0"/>
              <w:jc w:val="center"/>
              <w:rPr>
                <w:sz w:val="20"/>
                <w:szCs w:val="20"/>
              </w:rPr>
            </w:pPr>
          </w:p>
          <w:p w:rsidR="00BF3DD9" w:rsidRDefault="00BF3DD9" w:rsidP="00BA1280">
            <w:pPr>
              <w:tabs>
                <w:tab w:val="left" w:pos="6946"/>
                <w:tab w:val="left" w:pos="8931"/>
              </w:tabs>
              <w:jc w:val="center"/>
              <w:rPr>
                <w:b/>
                <w:sz w:val="20"/>
                <w:szCs w:val="20"/>
              </w:rPr>
            </w:pPr>
            <w:r>
              <w:rPr>
                <w:rFonts w:ascii="(Utiliser une police de caractè" w:hAnsi="(Utiliser une police de caractè"/>
                <w:sz w:val="20"/>
                <w:szCs w:val="20"/>
              </w:rPr>
              <w:t xml:space="preserve">DEPENSES                                           </w:t>
            </w:r>
            <w:r>
              <w:rPr>
                <w:b/>
                <w:sz w:val="20"/>
                <w:szCs w:val="20"/>
              </w:rPr>
              <w:t>555 148,89 €</w:t>
            </w:r>
          </w:p>
        </w:tc>
        <w:tc>
          <w:tcPr>
            <w:tcW w:w="4795" w:type="dxa"/>
            <w:gridSpan w:val="2"/>
            <w:tcBorders>
              <w:top w:val="single" w:sz="2" w:space="0" w:color="000000"/>
              <w:left w:val="single" w:sz="2" w:space="0" w:color="000000"/>
              <w:bottom w:val="single" w:sz="2" w:space="0" w:color="000000"/>
              <w:right w:val="single" w:sz="2" w:space="0" w:color="000000"/>
            </w:tcBorders>
          </w:tcPr>
          <w:p w:rsidR="00BF3DD9" w:rsidRDefault="00BF3DD9" w:rsidP="00BA1280">
            <w:pPr>
              <w:tabs>
                <w:tab w:val="left" w:pos="6946"/>
                <w:tab w:val="left" w:pos="8931"/>
              </w:tabs>
              <w:snapToGrid w:val="0"/>
              <w:jc w:val="center"/>
              <w:rPr>
                <w:bCs/>
                <w:sz w:val="20"/>
                <w:szCs w:val="20"/>
              </w:rPr>
            </w:pPr>
          </w:p>
          <w:p w:rsidR="00BF3DD9" w:rsidRDefault="00BF3DD9" w:rsidP="00BA1280">
            <w:pPr>
              <w:tabs>
                <w:tab w:val="left" w:pos="6946"/>
                <w:tab w:val="left" w:pos="8931"/>
              </w:tabs>
              <w:jc w:val="center"/>
              <w:rPr>
                <w:b/>
                <w:bCs/>
                <w:sz w:val="20"/>
                <w:szCs w:val="20"/>
              </w:rPr>
            </w:pPr>
            <w:r>
              <w:rPr>
                <w:bCs/>
                <w:sz w:val="20"/>
                <w:szCs w:val="20"/>
              </w:rPr>
              <w:t xml:space="preserve">RECETTES                                            </w:t>
            </w:r>
            <w:r>
              <w:rPr>
                <w:b/>
                <w:sz w:val="20"/>
                <w:szCs w:val="20"/>
              </w:rPr>
              <w:t>555 148,89 €</w:t>
            </w:r>
          </w:p>
        </w:tc>
      </w:tr>
      <w:tr w:rsidR="00BF3DD9" w:rsidTr="008B3288">
        <w:trPr>
          <w:cantSplit/>
          <w:trHeight w:val="330"/>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Charges à caractère général</w:t>
            </w:r>
          </w:p>
        </w:tc>
        <w:tc>
          <w:tcPr>
            <w:tcW w:w="1521" w:type="dxa"/>
            <w:tcBorders>
              <w:top w:val="nil"/>
              <w:left w:val="single" w:sz="2" w:space="0" w:color="000000"/>
              <w:bottom w:val="single" w:sz="2" w:space="0" w:color="000000"/>
              <w:right w:val="nil"/>
            </w:tcBorders>
          </w:tcPr>
          <w:p w:rsidR="00BF3DD9" w:rsidRDefault="00BF3DD9" w:rsidP="008B3288">
            <w:pPr>
              <w:tabs>
                <w:tab w:val="left" w:pos="6946"/>
                <w:tab w:val="left" w:pos="8931"/>
              </w:tabs>
              <w:snapToGrid w:val="0"/>
              <w:jc w:val="center"/>
              <w:rPr>
                <w:bCs/>
                <w:sz w:val="20"/>
                <w:szCs w:val="20"/>
              </w:rPr>
            </w:pPr>
            <w:r>
              <w:rPr>
                <w:bCs/>
                <w:sz w:val="20"/>
                <w:szCs w:val="20"/>
              </w:rPr>
              <w:t>194 512,89</w:t>
            </w:r>
          </w:p>
        </w:tc>
        <w:tc>
          <w:tcPr>
            <w:tcW w:w="3332"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Produits Service</w:t>
            </w:r>
          </w:p>
        </w:tc>
        <w:tc>
          <w:tcPr>
            <w:tcW w:w="1463" w:type="dxa"/>
            <w:tcBorders>
              <w:top w:val="nil"/>
              <w:left w:val="single" w:sz="2" w:space="0" w:color="000000"/>
              <w:bottom w:val="single" w:sz="2" w:space="0" w:color="000000"/>
              <w:right w:val="single" w:sz="2" w:space="0" w:color="000000"/>
            </w:tcBorders>
          </w:tcPr>
          <w:p w:rsidR="00BF3DD9" w:rsidRDefault="00BF3DD9" w:rsidP="008B3288">
            <w:pPr>
              <w:tabs>
                <w:tab w:val="left" w:pos="6946"/>
                <w:tab w:val="left" w:pos="8931"/>
              </w:tabs>
              <w:snapToGrid w:val="0"/>
              <w:jc w:val="center"/>
              <w:rPr>
                <w:bCs/>
                <w:sz w:val="20"/>
                <w:szCs w:val="20"/>
              </w:rPr>
            </w:pPr>
            <w:r>
              <w:rPr>
                <w:bCs/>
                <w:sz w:val="20"/>
                <w:szCs w:val="20"/>
              </w:rPr>
              <w:t>35 000,00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Charges de personnel</w:t>
            </w:r>
          </w:p>
        </w:tc>
        <w:tc>
          <w:tcPr>
            <w:tcW w:w="1521" w:type="dxa"/>
            <w:tcBorders>
              <w:top w:val="nil"/>
              <w:left w:val="single" w:sz="2" w:space="0" w:color="000000"/>
              <w:bottom w:val="single" w:sz="2" w:space="0" w:color="000000"/>
              <w:right w:val="nil"/>
            </w:tcBorders>
          </w:tcPr>
          <w:p w:rsidR="00BF3DD9" w:rsidRDefault="00BF3DD9" w:rsidP="008B3288">
            <w:pPr>
              <w:tabs>
                <w:tab w:val="left" w:pos="6946"/>
                <w:tab w:val="left" w:pos="8931"/>
              </w:tabs>
              <w:snapToGrid w:val="0"/>
              <w:jc w:val="center"/>
              <w:rPr>
                <w:bCs/>
                <w:sz w:val="20"/>
                <w:szCs w:val="20"/>
              </w:rPr>
            </w:pPr>
            <w:r>
              <w:rPr>
                <w:bCs/>
                <w:sz w:val="20"/>
                <w:szCs w:val="20"/>
              </w:rPr>
              <w:t>144 000,00</w:t>
            </w:r>
          </w:p>
        </w:tc>
        <w:tc>
          <w:tcPr>
            <w:tcW w:w="3332"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Impôts et Taxes</w:t>
            </w:r>
          </w:p>
        </w:tc>
        <w:tc>
          <w:tcPr>
            <w:tcW w:w="1463" w:type="dxa"/>
            <w:tcBorders>
              <w:top w:val="nil"/>
              <w:left w:val="single" w:sz="2" w:space="0" w:color="000000"/>
              <w:bottom w:val="single" w:sz="2" w:space="0" w:color="000000"/>
              <w:right w:val="single" w:sz="2" w:space="0" w:color="000000"/>
            </w:tcBorders>
          </w:tcPr>
          <w:p w:rsidR="00BF3DD9" w:rsidRDefault="00BF3DD9" w:rsidP="008B3288">
            <w:pPr>
              <w:tabs>
                <w:tab w:val="left" w:pos="6946"/>
                <w:tab w:val="left" w:pos="8931"/>
              </w:tabs>
              <w:snapToGrid w:val="0"/>
              <w:jc w:val="center"/>
              <w:rPr>
                <w:bCs/>
                <w:sz w:val="20"/>
                <w:szCs w:val="20"/>
              </w:rPr>
            </w:pPr>
            <w:r>
              <w:rPr>
                <w:bCs/>
                <w:sz w:val="20"/>
                <w:szCs w:val="20"/>
              </w:rPr>
              <w:t>247 303,00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Autres charges</w:t>
            </w:r>
          </w:p>
        </w:tc>
        <w:tc>
          <w:tcPr>
            <w:tcW w:w="1521" w:type="dxa"/>
            <w:tcBorders>
              <w:top w:val="nil"/>
              <w:left w:val="single" w:sz="2" w:space="0" w:color="000000"/>
              <w:bottom w:val="single" w:sz="2" w:space="0" w:color="000000"/>
              <w:right w:val="nil"/>
            </w:tcBorders>
          </w:tcPr>
          <w:p w:rsidR="00BF3DD9" w:rsidRDefault="00BF3DD9" w:rsidP="008B3288">
            <w:pPr>
              <w:tabs>
                <w:tab w:val="left" w:pos="6946"/>
                <w:tab w:val="left" w:pos="8931"/>
              </w:tabs>
              <w:snapToGrid w:val="0"/>
              <w:jc w:val="center"/>
              <w:rPr>
                <w:bCs/>
                <w:sz w:val="20"/>
                <w:szCs w:val="20"/>
              </w:rPr>
            </w:pPr>
            <w:r>
              <w:rPr>
                <w:bCs/>
                <w:sz w:val="20"/>
                <w:szCs w:val="20"/>
              </w:rPr>
              <w:t>87 586,00</w:t>
            </w:r>
          </w:p>
        </w:tc>
        <w:tc>
          <w:tcPr>
            <w:tcW w:w="3332"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Dotation</w:t>
            </w:r>
          </w:p>
        </w:tc>
        <w:tc>
          <w:tcPr>
            <w:tcW w:w="1463" w:type="dxa"/>
            <w:tcBorders>
              <w:top w:val="nil"/>
              <w:left w:val="single" w:sz="2" w:space="0" w:color="000000"/>
              <w:bottom w:val="single" w:sz="2" w:space="0" w:color="000000"/>
              <w:right w:val="single" w:sz="2" w:space="0" w:color="000000"/>
            </w:tcBorders>
          </w:tcPr>
          <w:p w:rsidR="00BF3DD9" w:rsidRDefault="00BF3DD9" w:rsidP="00B07D6B">
            <w:pPr>
              <w:tabs>
                <w:tab w:val="left" w:pos="6946"/>
                <w:tab w:val="left" w:pos="8931"/>
              </w:tabs>
              <w:snapToGrid w:val="0"/>
              <w:jc w:val="center"/>
              <w:rPr>
                <w:bCs/>
                <w:sz w:val="20"/>
                <w:szCs w:val="20"/>
              </w:rPr>
            </w:pPr>
            <w:r>
              <w:rPr>
                <w:bCs/>
                <w:sz w:val="20"/>
                <w:szCs w:val="20"/>
              </w:rPr>
              <w:t>103 721,00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Charges financières</w:t>
            </w:r>
          </w:p>
        </w:tc>
        <w:tc>
          <w:tcPr>
            <w:tcW w:w="1521" w:type="dxa"/>
            <w:tcBorders>
              <w:top w:val="nil"/>
              <w:left w:val="single" w:sz="2" w:space="0" w:color="000000"/>
              <w:bottom w:val="single" w:sz="2" w:space="0" w:color="000000"/>
              <w:right w:val="nil"/>
            </w:tcBorders>
          </w:tcPr>
          <w:p w:rsidR="00BF3DD9" w:rsidRDefault="00BF3DD9" w:rsidP="008B3288">
            <w:pPr>
              <w:tabs>
                <w:tab w:val="left" w:pos="6946"/>
                <w:tab w:val="left" w:pos="8931"/>
              </w:tabs>
              <w:snapToGrid w:val="0"/>
              <w:jc w:val="center"/>
              <w:rPr>
                <w:bCs/>
                <w:sz w:val="20"/>
                <w:szCs w:val="20"/>
              </w:rPr>
            </w:pPr>
            <w:r>
              <w:rPr>
                <w:bCs/>
                <w:sz w:val="20"/>
                <w:szCs w:val="20"/>
              </w:rPr>
              <w:t>17 550,00</w:t>
            </w:r>
          </w:p>
        </w:tc>
        <w:tc>
          <w:tcPr>
            <w:tcW w:w="3332"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Produit gestion Courante</w:t>
            </w:r>
          </w:p>
        </w:tc>
        <w:tc>
          <w:tcPr>
            <w:tcW w:w="1463" w:type="dxa"/>
            <w:tcBorders>
              <w:top w:val="nil"/>
              <w:left w:val="single" w:sz="2" w:space="0" w:color="000000"/>
              <w:bottom w:val="single" w:sz="2" w:space="0" w:color="000000"/>
              <w:right w:val="single" w:sz="2" w:space="0" w:color="000000"/>
            </w:tcBorders>
          </w:tcPr>
          <w:p w:rsidR="00BF3DD9" w:rsidRDefault="00BF3DD9" w:rsidP="008B3288">
            <w:pPr>
              <w:tabs>
                <w:tab w:val="left" w:pos="6946"/>
                <w:tab w:val="left" w:pos="8931"/>
              </w:tabs>
              <w:snapToGrid w:val="0"/>
              <w:jc w:val="center"/>
              <w:rPr>
                <w:bCs/>
                <w:sz w:val="20"/>
                <w:szCs w:val="20"/>
              </w:rPr>
            </w:pPr>
            <w:r>
              <w:rPr>
                <w:bCs/>
                <w:sz w:val="20"/>
                <w:szCs w:val="20"/>
              </w:rPr>
              <w:t>36 000,00</w:t>
            </w:r>
          </w:p>
        </w:tc>
      </w:tr>
      <w:tr w:rsidR="00BF3DD9" w:rsidTr="00A13292">
        <w:trPr>
          <w:cantSplit/>
          <w:jc w:val="center"/>
        </w:trPr>
        <w:tc>
          <w:tcPr>
            <w:tcW w:w="3085" w:type="dxa"/>
            <w:tcBorders>
              <w:top w:val="nil"/>
              <w:left w:val="single" w:sz="2" w:space="0" w:color="000000"/>
              <w:bottom w:val="single" w:sz="4" w:space="0" w:color="auto"/>
              <w:right w:val="nil"/>
            </w:tcBorders>
          </w:tcPr>
          <w:p w:rsidR="00BF3DD9" w:rsidRDefault="00BF3DD9" w:rsidP="00A13292">
            <w:pPr>
              <w:tabs>
                <w:tab w:val="left" w:pos="6946"/>
                <w:tab w:val="left" w:pos="8931"/>
              </w:tabs>
              <w:snapToGrid w:val="0"/>
              <w:jc w:val="center"/>
              <w:rPr>
                <w:sz w:val="20"/>
                <w:szCs w:val="20"/>
              </w:rPr>
            </w:pPr>
            <w:r>
              <w:rPr>
                <w:sz w:val="20"/>
                <w:szCs w:val="20"/>
              </w:rPr>
              <w:t>Virement en investissement</w:t>
            </w:r>
          </w:p>
        </w:tc>
        <w:tc>
          <w:tcPr>
            <w:tcW w:w="1521" w:type="dxa"/>
            <w:tcBorders>
              <w:top w:val="nil"/>
              <w:left w:val="single" w:sz="2" w:space="0" w:color="000000"/>
              <w:bottom w:val="single" w:sz="4" w:space="0" w:color="auto"/>
              <w:right w:val="nil"/>
            </w:tcBorders>
          </w:tcPr>
          <w:p w:rsidR="00BF3DD9" w:rsidRPr="007A41ED" w:rsidRDefault="00BF3DD9" w:rsidP="008B3288">
            <w:pPr>
              <w:tabs>
                <w:tab w:val="left" w:pos="6946"/>
                <w:tab w:val="left" w:pos="8931"/>
              </w:tabs>
              <w:snapToGrid w:val="0"/>
              <w:jc w:val="center"/>
              <w:rPr>
                <w:sz w:val="20"/>
                <w:szCs w:val="20"/>
              </w:rPr>
            </w:pPr>
            <w:r w:rsidRPr="007A41ED">
              <w:rPr>
                <w:sz w:val="20"/>
                <w:szCs w:val="20"/>
              </w:rPr>
              <w:t>111500,00</w:t>
            </w:r>
          </w:p>
        </w:tc>
        <w:tc>
          <w:tcPr>
            <w:tcW w:w="3332" w:type="dxa"/>
            <w:tcBorders>
              <w:top w:val="nil"/>
              <w:left w:val="single" w:sz="2" w:space="0" w:color="000000"/>
              <w:bottom w:val="single" w:sz="4" w:space="0" w:color="auto"/>
              <w:right w:val="nil"/>
            </w:tcBorders>
          </w:tcPr>
          <w:p w:rsidR="00BF3DD9" w:rsidRDefault="00BF3DD9" w:rsidP="008B3288">
            <w:pPr>
              <w:tabs>
                <w:tab w:val="left" w:pos="6946"/>
                <w:tab w:val="left" w:pos="8931"/>
              </w:tabs>
              <w:snapToGrid w:val="0"/>
              <w:jc w:val="center"/>
              <w:rPr>
                <w:bCs/>
                <w:sz w:val="20"/>
                <w:szCs w:val="20"/>
              </w:rPr>
            </w:pPr>
            <w:r>
              <w:rPr>
                <w:bCs/>
                <w:sz w:val="20"/>
                <w:szCs w:val="20"/>
              </w:rPr>
              <w:t>Excédent 2017</w:t>
            </w:r>
          </w:p>
        </w:tc>
        <w:tc>
          <w:tcPr>
            <w:tcW w:w="1463" w:type="dxa"/>
            <w:tcBorders>
              <w:top w:val="nil"/>
              <w:left w:val="single" w:sz="2" w:space="0" w:color="000000"/>
              <w:bottom w:val="single" w:sz="4" w:space="0" w:color="auto"/>
              <w:right w:val="single" w:sz="2" w:space="0" w:color="000000"/>
            </w:tcBorders>
          </w:tcPr>
          <w:p w:rsidR="00BF3DD9" w:rsidRDefault="00BF3DD9" w:rsidP="008B3288">
            <w:pPr>
              <w:tabs>
                <w:tab w:val="left" w:pos="6946"/>
                <w:tab w:val="left" w:pos="8931"/>
              </w:tabs>
              <w:snapToGrid w:val="0"/>
              <w:jc w:val="center"/>
              <w:rPr>
                <w:bCs/>
                <w:sz w:val="20"/>
                <w:szCs w:val="20"/>
              </w:rPr>
            </w:pPr>
            <w:r>
              <w:rPr>
                <w:bCs/>
                <w:sz w:val="20"/>
                <w:szCs w:val="20"/>
              </w:rPr>
              <w:t>133 124,89</w:t>
            </w:r>
          </w:p>
        </w:tc>
      </w:tr>
      <w:tr w:rsidR="00BF3DD9" w:rsidTr="00A13292">
        <w:trPr>
          <w:cantSplit/>
          <w:jc w:val="center"/>
        </w:trPr>
        <w:tc>
          <w:tcPr>
            <w:tcW w:w="3085" w:type="dxa"/>
            <w:tcBorders>
              <w:top w:val="single" w:sz="4" w:space="0" w:color="auto"/>
              <w:left w:val="single" w:sz="4" w:space="0" w:color="auto"/>
              <w:bottom w:val="single" w:sz="4" w:space="0" w:color="auto"/>
              <w:right w:val="single" w:sz="2" w:space="0" w:color="000000"/>
            </w:tcBorders>
            <w:shd w:val="clear" w:color="auto" w:fill="FFFFFF"/>
          </w:tcPr>
          <w:p w:rsidR="00BF3DD9" w:rsidRDefault="00BF3DD9" w:rsidP="00A13292">
            <w:pPr>
              <w:tabs>
                <w:tab w:val="left" w:pos="6946"/>
                <w:tab w:val="left" w:pos="8931"/>
              </w:tabs>
              <w:snapToGrid w:val="0"/>
              <w:jc w:val="center"/>
              <w:rPr>
                <w:sz w:val="20"/>
                <w:szCs w:val="20"/>
              </w:rPr>
            </w:pPr>
          </w:p>
        </w:tc>
        <w:tc>
          <w:tcPr>
            <w:tcW w:w="1521" w:type="dxa"/>
            <w:tcBorders>
              <w:top w:val="single" w:sz="4" w:space="0" w:color="auto"/>
              <w:left w:val="single" w:sz="2" w:space="0" w:color="000000"/>
              <w:bottom w:val="single" w:sz="4" w:space="0" w:color="auto"/>
              <w:right w:val="single" w:sz="2" w:space="0" w:color="000000"/>
            </w:tcBorders>
            <w:shd w:val="clear" w:color="auto" w:fill="FFFFFF"/>
          </w:tcPr>
          <w:p w:rsidR="00BF3DD9" w:rsidRDefault="00BF3DD9" w:rsidP="00A13292">
            <w:pPr>
              <w:tabs>
                <w:tab w:val="left" w:pos="6946"/>
                <w:tab w:val="left" w:pos="8931"/>
              </w:tabs>
              <w:snapToGrid w:val="0"/>
              <w:jc w:val="center"/>
              <w:rPr>
                <w:bCs/>
                <w:sz w:val="20"/>
                <w:szCs w:val="20"/>
              </w:rPr>
            </w:pPr>
          </w:p>
        </w:tc>
        <w:tc>
          <w:tcPr>
            <w:tcW w:w="3332" w:type="dxa"/>
            <w:tcBorders>
              <w:top w:val="single" w:sz="4" w:space="0" w:color="auto"/>
              <w:left w:val="single" w:sz="2" w:space="0" w:color="000000"/>
              <w:bottom w:val="single" w:sz="4" w:space="0" w:color="auto"/>
              <w:right w:val="single" w:sz="2" w:space="0" w:color="000000"/>
            </w:tcBorders>
          </w:tcPr>
          <w:p w:rsidR="00BF3DD9" w:rsidRDefault="00BF3DD9" w:rsidP="00A13292">
            <w:pPr>
              <w:tabs>
                <w:tab w:val="left" w:pos="6946"/>
                <w:tab w:val="left" w:pos="8931"/>
              </w:tabs>
              <w:snapToGrid w:val="0"/>
              <w:jc w:val="center"/>
              <w:rPr>
                <w:bCs/>
                <w:sz w:val="20"/>
                <w:szCs w:val="20"/>
              </w:rPr>
            </w:pPr>
          </w:p>
        </w:tc>
        <w:tc>
          <w:tcPr>
            <w:tcW w:w="1463" w:type="dxa"/>
            <w:tcBorders>
              <w:top w:val="single" w:sz="4" w:space="0" w:color="auto"/>
              <w:left w:val="single" w:sz="2" w:space="0" w:color="000000"/>
              <w:bottom w:val="single" w:sz="4" w:space="0" w:color="auto"/>
              <w:right w:val="single" w:sz="4" w:space="0" w:color="auto"/>
            </w:tcBorders>
          </w:tcPr>
          <w:p w:rsidR="00BF3DD9" w:rsidRDefault="00BF3DD9" w:rsidP="00A13292">
            <w:pPr>
              <w:tabs>
                <w:tab w:val="left" w:pos="6946"/>
                <w:tab w:val="left" w:pos="8931"/>
              </w:tabs>
              <w:snapToGrid w:val="0"/>
              <w:jc w:val="center"/>
              <w:rPr>
                <w:bCs/>
                <w:sz w:val="20"/>
                <w:szCs w:val="20"/>
              </w:rPr>
            </w:pPr>
          </w:p>
        </w:tc>
      </w:tr>
    </w:tbl>
    <w:p w:rsidR="00BF3DD9" w:rsidRDefault="00BF3DD9" w:rsidP="00060684">
      <w:pPr>
        <w:jc w:val="center"/>
        <w:rPr>
          <w:b/>
          <w:sz w:val="20"/>
          <w:szCs w:val="20"/>
          <w:u w:val="single"/>
        </w:rPr>
      </w:pPr>
      <w:r>
        <w:rPr>
          <w:b/>
          <w:bCs/>
          <w:sz w:val="20"/>
          <w:szCs w:val="20"/>
          <w:u w:val="single"/>
        </w:rPr>
        <w:t>Section</w:t>
      </w:r>
      <w:r>
        <w:rPr>
          <w:b/>
          <w:sz w:val="20"/>
          <w:szCs w:val="20"/>
          <w:u w:val="single"/>
        </w:rPr>
        <w:t xml:space="preserve"> Investissement</w:t>
      </w:r>
    </w:p>
    <w:tbl>
      <w:tblPr>
        <w:tblW w:w="9379" w:type="dxa"/>
        <w:jc w:val="center"/>
        <w:tblInd w:w="-72" w:type="dxa"/>
        <w:tblLayout w:type="fixed"/>
        <w:tblLook w:val="0000"/>
      </w:tblPr>
      <w:tblGrid>
        <w:gridCol w:w="3085"/>
        <w:gridCol w:w="1521"/>
        <w:gridCol w:w="3333"/>
        <w:gridCol w:w="1440"/>
      </w:tblGrid>
      <w:tr w:rsidR="00BF3DD9" w:rsidTr="00A13292">
        <w:trPr>
          <w:cantSplit/>
          <w:jc w:val="center"/>
        </w:trPr>
        <w:tc>
          <w:tcPr>
            <w:tcW w:w="4606" w:type="dxa"/>
            <w:gridSpan w:val="2"/>
            <w:tcBorders>
              <w:top w:val="single" w:sz="2" w:space="0" w:color="000000"/>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p>
          <w:p w:rsidR="00BF3DD9" w:rsidRPr="00D15236" w:rsidRDefault="00BF3DD9" w:rsidP="00D15236">
            <w:pPr>
              <w:tabs>
                <w:tab w:val="left" w:pos="6946"/>
                <w:tab w:val="left" w:pos="8931"/>
              </w:tabs>
              <w:jc w:val="center"/>
              <w:rPr>
                <w:b/>
                <w:sz w:val="20"/>
                <w:szCs w:val="20"/>
              </w:rPr>
            </w:pPr>
            <w:r>
              <w:rPr>
                <w:sz w:val="20"/>
                <w:szCs w:val="20"/>
              </w:rPr>
              <w:t xml:space="preserve">DEPENSES                                            </w:t>
            </w:r>
            <w:r w:rsidRPr="00B07D6B">
              <w:rPr>
                <w:b/>
                <w:sz w:val="20"/>
                <w:szCs w:val="20"/>
              </w:rPr>
              <w:t>45</w:t>
            </w:r>
            <w:r>
              <w:rPr>
                <w:b/>
                <w:sz w:val="20"/>
                <w:szCs w:val="20"/>
              </w:rPr>
              <w:t>8 333,84 €</w:t>
            </w:r>
          </w:p>
        </w:tc>
        <w:tc>
          <w:tcPr>
            <w:tcW w:w="4773" w:type="dxa"/>
            <w:gridSpan w:val="2"/>
            <w:tcBorders>
              <w:top w:val="single" w:sz="2" w:space="0" w:color="000000"/>
              <w:left w:val="single" w:sz="2" w:space="0" w:color="000000"/>
              <w:bottom w:val="single" w:sz="2" w:space="0" w:color="000000"/>
              <w:right w:val="single" w:sz="2" w:space="0" w:color="000000"/>
            </w:tcBorders>
          </w:tcPr>
          <w:p w:rsidR="00BF3DD9" w:rsidRDefault="00BF3DD9" w:rsidP="00A13292">
            <w:pPr>
              <w:tabs>
                <w:tab w:val="left" w:pos="6946"/>
                <w:tab w:val="left" w:pos="8931"/>
              </w:tabs>
              <w:snapToGrid w:val="0"/>
              <w:jc w:val="center"/>
              <w:rPr>
                <w:bCs/>
                <w:sz w:val="20"/>
                <w:szCs w:val="20"/>
              </w:rPr>
            </w:pPr>
          </w:p>
          <w:p w:rsidR="00BF3DD9" w:rsidRPr="00D15236" w:rsidRDefault="00BF3DD9" w:rsidP="00D15236">
            <w:pPr>
              <w:tabs>
                <w:tab w:val="left" w:pos="6946"/>
                <w:tab w:val="left" w:pos="8931"/>
              </w:tabs>
              <w:jc w:val="center"/>
              <w:rPr>
                <w:b/>
                <w:sz w:val="20"/>
                <w:szCs w:val="20"/>
              </w:rPr>
            </w:pPr>
            <w:r>
              <w:rPr>
                <w:bCs/>
                <w:sz w:val="20"/>
                <w:szCs w:val="20"/>
              </w:rPr>
              <w:t xml:space="preserve">RECETTES                                            </w:t>
            </w:r>
            <w:r w:rsidRPr="00B07D6B">
              <w:rPr>
                <w:b/>
                <w:bCs/>
                <w:sz w:val="20"/>
                <w:szCs w:val="20"/>
              </w:rPr>
              <w:t>45</w:t>
            </w:r>
            <w:r>
              <w:rPr>
                <w:b/>
                <w:bCs/>
                <w:sz w:val="20"/>
                <w:szCs w:val="20"/>
              </w:rPr>
              <w:t>8</w:t>
            </w:r>
            <w:r>
              <w:rPr>
                <w:b/>
                <w:sz w:val="20"/>
                <w:szCs w:val="20"/>
              </w:rPr>
              <w:t xml:space="preserve"> 333,84 €</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bookmarkStart w:id="0" w:name="_Hlk388691368"/>
            <w:r>
              <w:rPr>
                <w:sz w:val="20"/>
                <w:szCs w:val="20"/>
              </w:rPr>
              <w:t>Dép. opérations équipement</w:t>
            </w:r>
          </w:p>
        </w:tc>
        <w:tc>
          <w:tcPr>
            <w:tcW w:w="1521" w:type="dxa"/>
            <w:tcBorders>
              <w:top w:val="nil"/>
              <w:left w:val="single" w:sz="2" w:space="0" w:color="000000"/>
              <w:bottom w:val="single" w:sz="2" w:space="0" w:color="000000"/>
              <w:right w:val="nil"/>
            </w:tcBorders>
          </w:tcPr>
          <w:p w:rsidR="00BF3DD9" w:rsidRDefault="00BF3DD9" w:rsidP="00B07D6B">
            <w:pPr>
              <w:snapToGrid w:val="0"/>
              <w:jc w:val="center"/>
              <w:rPr>
                <w:bCs/>
                <w:sz w:val="20"/>
                <w:szCs w:val="20"/>
              </w:rPr>
            </w:pPr>
            <w:r>
              <w:rPr>
                <w:bCs/>
                <w:sz w:val="20"/>
                <w:szCs w:val="20"/>
              </w:rPr>
              <w:t>300 221,00</w:t>
            </w:r>
          </w:p>
        </w:tc>
        <w:tc>
          <w:tcPr>
            <w:tcW w:w="3333"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Dotations, fonds divers</w:t>
            </w:r>
          </w:p>
        </w:tc>
        <w:tc>
          <w:tcPr>
            <w:tcW w:w="1440" w:type="dxa"/>
            <w:tcBorders>
              <w:top w:val="nil"/>
              <w:left w:val="single" w:sz="2" w:space="0" w:color="000000"/>
              <w:bottom w:val="single" w:sz="2" w:space="0" w:color="000000"/>
              <w:right w:val="single" w:sz="2" w:space="0" w:color="000000"/>
            </w:tcBorders>
          </w:tcPr>
          <w:p w:rsidR="00BF3DD9" w:rsidRDefault="00BF3DD9" w:rsidP="00A13292">
            <w:pPr>
              <w:snapToGrid w:val="0"/>
              <w:jc w:val="center"/>
              <w:rPr>
                <w:bCs/>
                <w:sz w:val="20"/>
                <w:szCs w:val="20"/>
              </w:rPr>
            </w:pPr>
            <w:r>
              <w:rPr>
                <w:bCs/>
                <w:sz w:val="20"/>
                <w:szCs w:val="20"/>
              </w:rPr>
              <w:t>18 500,00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Emprunts et dettes assimilées</w:t>
            </w:r>
          </w:p>
        </w:tc>
        <w:tc>
          <w:tcPr>
            <w:tcW w:w="1521" w:type="dxa"/>
            <w:tcBorders>
              <w:top w:val="nil"/>
              <w:left w:val="single" w:sz="2" w:space="0" w:color="000000"/>
              <w:bottom w:val="single" w:sz="2" w:space="0" w:color="000000"/>
              <w:right w:val="nil"/>
            </w:tcBorders>
          </w:tcPr>
          <w:p w:rsidR="00BF3DD9" w:rsidRDefault="00BF3DD9" w:rsidP="00B07D6B">
            <w:pPr>
              <w:snapToGrid w:val="0"/>
              <w:jc w:val="center"/>
              <w:rPr>
                <w:bCs/>
                <w:sz w:val="20"/>
                <w:szCs w:val="20"/>
              </w:rPr>
            </w:pPr>
            <w:r>
              <w:rPr>
                <w:bCs/>
                <w:sz w:val="20"/>
                <w:szCs w:val="20"/>
              </w:rPr>
              <w:t xml:space="preserve">  99 000,00 </w:t>
            </w:r>
          </w:p>
        </w:tc>
        <w:tc>
          <w:tcPr>
            <w:tcW w:w="3333" w:type="dxa"/>
            <w:tcBorders>
              <w:top w:val="nil"/>
              <w:left w:val="single" w:sz="2" w:space="0" w:color="000000"/>
              <w:bottom w:val="single" w:sz="2" w:space="0" w:color="000000"/>
              <w:right w:val="nil"/>
            </w:tcBorders>
          </w:tcPr>
          <w:p w:rsidR="00BF3DD9" w:rsidRDefault="00BF3DD9" w:rsidP="00B07D6B">
            <w:pPr>
              <w:tabs>
                <w:tab w:val="left" w:pos="6946"/>
                <w:tab w:val="left" w:pos="8931"/>
              </w:tabs>
              <w:snapToGrid w:val="0"/>
              <w:jc w:val="center"/>
              <w:rPr>
                <w:bCs/>
                <w:sz w:val="20"/>
                <w:szCs w:val="20"/>
              </w:rPr>
            </w:pPr>
            <w:r>
              <w:rPr>
                <w:sz w:val="20"/>
                <w:szCs w:val="20"/>
              </w:rPr>
              <w:t>Subvention attendue</w:t>
            </w:r>
          </w:p>
        </w:tc>
        <w:tc>
          <w:tcPr>
            <w:tcW w:w="1440" w:type="dxa"/>
            <w:tcBorders>
              <w:top w:val="nil"/>
              <w:left w:val="single" w:sz="2" w:space="0" w:color="000000"/>
              <w:bottom w:val="single" w:sz="2" w:space="0" w:color="000000"/>
              <w:right w:val="single" w:sz="2" w:space="0" w:color="000000"/>
            </w:tcBorders>
          </w:tcPr>
          <w:p w:rsidR="00BF3DD9" w:rsidRDefault="00BF3DD9" w:rsidP="00B06BFA">
            <w:pPr>
              <w:snapToGrid w:val="0"/>
              <w:jc w:val="center"/>
              <w:rPr>
                <w:bCs/>
                <w:sz w:val="20"/>
                <w:szCs w:val="20"/>
              </w:rPr>
            </w:pPr>
            <w:r>
              <w:rPr>
                <w:bCs/>
                <w:sz w:val="20"/>
                <w:szCs w:val="20"/>
              </w:rPr>
              <w:t>172 821,00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B07D6B">
            <w:pPr>
              <w:tabs>
                <w:tab w:val="left" w:pos="6946"/>
                <w:tab w:val="left" w:pos="8931"/>
              </w:tabs>
              <w:snapToGrid w:val="0"/>
              <w:jc w:val="center"/>
              <w:rPr>
                <w:bCs/>
                <w:sz w:val="20"/>
                <w:szCs w:val="20"/>
              </w:rPr>
            </w:pPr>
            <w:r>
              <w:rPr>
                <w:bCs/>
                <w:sz w:val="20"/>
                <w:szCs w:val="20"/>
              </w:rPr>
              <w:t>Déficit 2017</w:t>
            </w:r>
          </w:p>
        </w:tc>
        <w:tc>
          <w:tcPr>
            <w:tcW w:w="1521" w:type="dxa"/>
            <w:tcBorders>
              <w:top w:val="nil"/>
              <w:left w:val="single" w:sz="2" w:space="0" w:color="000000"/>
              <w:bottom w:val="single" w:sz="2" w:space="0" w:color="000000"/>
              <w:right w:val="nil"/>
            </w:tcBorders>
          </w:tcPr>
          <w:p w:rsidR="00BF3DD9" w:rsidRDefault="00BF3DD9" w:rsidP="00B07D6B">
            <w:pPr>
              <w:snapToGrid w:val="0"/>
              <w:jc w:val="center"/>
              <w:rPr>
                <w:bCs/>
                <w:sz w:val="20"/>
                <w:szCs w:val="20"/>
              </w:rPr>
            </w:pPr>
            <w:r>
              <w:rPr>
                <w:bCs/>
                <w:sz w:val="20"/>
                <w:szCs w:val="20"/>
              </w:rPr>
              <w:t xml:space="preserve">  23 212,84</w:t>
            </w:r>
          </w:p>
        </w:tc>
        <w:tc>
          <w:tcPr>
            <w:tcW w:w="3333"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Vir. de la sect. Fonctionnement</w:t>
            </w:r>
          </w:p>
        </w:tc>
        <w:tc>
          <w:tcPr>
            <w:tcW w:w="1440" w:type="dxa"/>
            <w:tcBorders>
              <w:top w:val="nil"/>
              <w:left w:val="single" w:sz="2" w:space="0" w:color="000000"/>
              <w:bottom w:val="single" w:sz="2" w:space="0" w:color="000000"/>
              <w:right w:val="single" w:sz="2" w:space="0" w:color="000000"/>
            </w:tcBorders>
          </w:tcPr>
          <w:p w:rsidR="00BF3DD9" w:rsidRDefault="00BF3DD9" w:rsidP="00A13292">
            <w:pPr>
              <w:snapToGrid w:val="0"/>
              <w:jc w:val="center"/>
              <w:rPr>
                <w:bCs/>
                <w:sz w:val="20"/>
                <w:szCs w:val="20"/>
              </w:rPr>
            </w:pPr>
            <w:r>
              <w:rPr>
                <w:bCs/>
                <w:sz w:val="20"/>
                <w:szCs w:val="20"/>
              </w:rPr>
              <w:t>111 500,00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B07D6B">
            <w:pPr>
              <w:tabs>
                <w:tab w:val="left" w:pos="6946"/>
                <w:tab w:val="left" w:pos="8931"/>
              </w:tabs>
              <w:snapToGrid w:val="0"/>
              <w:jc w:val="center"/>
              <w:rPr>
                <w:b/>
                <w:bCs/>
                <w:sz w:val="20"/>
                <w:szCs w:val="20"/>
              </w:rPr>
            </w:pPr>
            <w:r>
              <w:rPr>
                <w:b/>
                <w:bCs/>
                <w:sz w:val="20"/>
                <w:szCs w:val="20"/>
              </w:rPr>
              <w:t>Dép. engagées en 2017 ( R.A.R.)</w:t>
            </w:r>
          </w:p>
        </w:tc>
        <w:tc>
          <w:tcPr>
            <w:tcW w:w="1521" w:type="dxa"/>
            <w:tcBorders>
              <w:top w:val="nil"/>
              <w:left w:val="single" w:sz="2" w:space="0" w:color="000000"/>
              <w:bottom w:val="single" w:sz="2" w:space="0" w:color="000000"/>
              <w:right w:val="nil"/>
            </w:tcBorders>
          </w:tcPr>
          <w:p w:rsidR="00BF3DD9" w:rsidRPr="007A41ED" w:rsidRDefault="00BF3DD9" w:rsidP="00B07D6B">
            <w:pPr>
              <w:tabs>
                <w:tab w:val="left" w:pos="6946"/>
                <w:tab w:val="left" w:pos="8931"/>
              </w:tabs>
              <w:snapToGrid w:val="0"/>
              <w:jc w:val="center"/>
              <w:rPr>
                <w:b/>
                <w:bCs/>
                <w:sz w:val="20"/>
                <w:szCs w:val="20"/>
              </w:rPr>
            </w:pPr>
            <w:r>
              <w:rPr>
                <w:bCs/>
                <w:sz w:val="20"/>
                <w:szCs w:val="20"/>
              </w:rPr>
              <w:t xml:space="preserve"> </w:t>
            </w:r>
            <w:r w:rsidRPr="007A41ED">
              <w:rPr>
                <w:b/>
                <w:bCs/>
                <w:sz w:val="20"/>
                <w:szCs w:val="20"/>
              </w:rPr>
              <w:t>31 900,00</w:t>
            </w:r>
          </w:p>
        </w:tc>
        <w:tc>
          <w:tcPr>
            <w:tcW w:w="3333" w:type="dxa"/>
            <w:tcBorders>
              <w:top w:val="nil"/>
              <w:left w:val="single" w:sz="2" w:space="0" w:color="000000"/>
              <w:bottom w:val="single" w:sz="2" w:space="0" w:color="000000"/>
              <w:right w:val="nil"/>
            </w:tcBorders>
          </w:tcPr>
          <w:p w:rsidR="00BF3DD9" w:rsidRDefault="00BF3DD9" w:rsidP="00E47F66">
            <w:pPr>
              <w:tabs>
                <w:tab w:val="left" w:pos="6946"/>
                <w:tab w:val="left" w:pos="8931"/>
              </w:tabs>
              <w:snapToGrid w:val="0"/>
              <w:jc w:val="center"/>
              <w:rPr>
                <w:sz w:val="20"/>
                <w:szCs w:val="20"/>
              </w:rPr>
            </w:pPr>
            <w:r>
              <w:rPr>
                <w:sz w:val="20"/>
                <w:szCs w:val="20"/>
              </w:rPr>
              <w:t>Excédent de fonctionnement capitalisé</w:t>
            </w:r>
          </w:p>
        </w:tc>
        <w:tc>
          <w:tcPr>
            <w:tcW w:w="1440" w:type="dxa"/>
            <w:tcBorders>
              <w:top w:val="nil"/>
              <w:left w:val="single" w:sz="2" w:space="0" w:color="000000"/>
              <w:bottom w:val="single" w:sz="2" w:space="0" w:color="000000"/>
              <w:right w:val="single" w:sz="2" w:space="0" w:color="000000"/>
            </w:tcBorders>
          </w:tcPr>
          <w:p w:rsidR="00BF3DD9" w:rsidRDefault="00BF3DD9" w:rsidP="00A13292">
            <w:pPr>
              <w:snapToGrid w:val="0"/>
              <w:jc w:val="center"/>
              <w:rPr>
                <w:bCs/>
                <w:sz w:val="20"/>
                <w:szCs w:val="20"/>
              </w:rPr>
            </w:pPr>
            <w:r>
              <w:rPr>
                <w:sz w:val="20"/>
                <w:szCs w:val="20"/>
              </w:rPr>
              <w:t xml:space="preserve"> 55 112,84</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Pr="007A41ED" w:rsidRDefault="00BF3DD9" w:rsidP="00B07D6B">
            <w:pPr>
              <w:tabs>
                <w:tab w:val="left" w:pos="6946"/>
                <w:tab w:val="left" w:pos="8931"/>
              </w:tabs>
              <w:snapToGrid w:val="0"/>
              <w:jc w:val="center"/>
              <w:rPr>
                <w:bCs/>
                <w:sz w:val="20"/>
                <w:szCs w:val="20"/>
              </w:rPr>
            </w:pPr>
            <w:r w:rsidRPr="007A41ED">
              <w:rPr>
                <w:bCs/>
                <w:sz w:val="20"/>
                <w:szCs w:val="20"/>
              </w:rPr>
              <w:t>Remboursement Prêts</w:t>
            </w:r>
          </w:p>
        </w:tc>
        <w:tc>
          <w:tcPr>
            <w:tcW w:w="1521" w:type="dxa"/>
            <w:tcBorders>
              <w:top w:val="nil"/>
              <w:left w:val="single" w:sz="2" w:space="0" w:color="000000"/>
              <w:bottom w:val="single" w:sz="2" w:space="0" w:color="000000"/>
              <w:right w:val="nil"/>
            </w:tcBorders>
          </w:tcPr>
          <w:p w:rsidR="00BF3DD9" w:rsidRDefault="00BF3DD9" w:rsidP="005D4B5C">
            <w:pPr>
              <w:tabs>
                <w:tab w:val="left" w:pos="6946"/>
                <w:tab w:val="left" w:pos="8931"/>
              </w:tabs>
              <w:snapToGrid w:val="0"/>
              <w:jc w:val="center"/>
              <w:rPr>
                <w:bCs/>
                <w:sz w:val="20"/>
                <w:szCs w:val="20"/>
              </w:rPr>
            </w:pPr>
            <w:r>
              <w:rPr>
                <w:bCs/>
                <w:sz w:val="20"/>
                <w:szCs w:val="20"/>
              </w:rPr>
              <w:t xml:space="preserve">   4 000,00</w:t>
            </w:r>
          </w:p>
        </w:tc>
        <w:tc>
          <w:tcPr>
            <w:tcW w:w="3333" w:type="dxa"/>
            <w:tcBorders>
              <w:top w:val="nil"/>
              <w:left w:val="single" w:sz="2" w:space="0" w:color="000000"/>
              <w:bottom w:val="single" w:sz="2" w:space="0" w:color="000000"/>
              <w:right w:val="nil"/>
            </w:tcBorders>
          </w:tcPr>
          <w:p w:rsidR="00BF3DD9" w:rsidRDefault="00BF3DD9" w:rsidP="00E47F66">
            <w:pPr>
              <w:tabs>
                <w:tab w:val="left" w:pos="6946"/>
                <w:tab w:val="left" w:pos="8931"/>
              </w:tabs>
              <w:snapToGrid w:val="0"/>
              <w:jc w:val="center"/>
              <w:rPr>
                <w:sz w:val="20"/>
                <w:szCs w:val="20"/>
              </w:rPr>
            </w:pPr>
            <w:r>
              <w:rPr>
                <w:sz w:val="20"/>
                <w:szCs w:val="20"/>
              </w:rPr>
              <w:t>Prêts</w:t>
            </w:r>
          </w:p>
        </w:tc>
        <w:tc>
          <w:tcPr>
            <w:tcW w:w="1440" w:type="dxa"/>
            <w:tcBorders>
              <w:top w:val="nil"/>
              <w:left w:val="single" w:sz="2" w:space="0" w:color="000000"/>
              <w:bottom w:val="single" w:sz="2" w:space="0" w:color="000000"/>
              <w:right w:val="single" w:sz="2" w:space="0" w:color="000000"/>
            </w:tcBorders>
          </w:tcPr>
          <w:p w:rsidR="00BF3DD9" w:rsidRDefault="00BF3DD9" w:rsidP="00A13292">
            <w:pPr>
              <w:snapToGrid w:val="0"/>
              <w:jc w:val="center"/>
              <w:rPr>
                <w:sz w:val="20"/>
                <w:szCs w:val="20"/>
              </w:rPr>
            </w:pPr>
            <w:r>
              <w:rPr>
                <w:sz w:val="20"/>
                <w:szCs w:val="20"/>
              </w:rPr>
              <w:t xml:space="preserve"> 4 000,00</w:t>
            </w:r>
          </w:p>
        </w:tc>
      </w:tr>
      <w:tr w:rsidR="00BF3DD9" w:rsidTr="00A13292">
        <w:trPr>
          <w:cantSplit/>
          <w:jc w:val="center"/>
        </w:trPr>
        <w:tc>
          <w:tcPr>
            <w:tcW w:w="3085"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b/>
                <w:bCs/>
                <w:sz w:val="20"/>
                <w:szCs w:val="20"/>
              </w:rPr>
            </w:pPr>
          </w:p>
        </w:tc>
        <w:tc>
          <w:tcPr>
            <w:tcW w:w="1521"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bCs/>
                <w:sz w:val="20"/>
                <w:szCs w:val="20"/>
              </w:rPr>
            </w:pPr>
          </w:p>
        </w:tc>
        <w:tc>
          <w:tcPr>
            <w:tcW w:w="3333" w:type="dxa"/>
            <w:tcBorders>
              <w:top w:val="nil"/>
              <w:left w:val="single" w:sz="2" w:space="0" w:color="000000"/>
              <w:bottom w:val="single" w:sz="2" w:space="0" w:color="000000"/>
              <w:right w:val="nil"/>
            </w:tcBorders>
          </w:tcPr>
          <w:p w:rsidR="00BF3DD9" w:rsidRDefault="00BF3DD9" w:rsidP="00A13292">
            <w:pPr>
              <w:tabs>
                <w:tab w:val="left" w:pos="6946"/>
                <w:tab w:val="left" w:pos="8931"/>
              </w:tabs>
              <w:snapToGrid w:val="0"/>
              <w:jc w:val="center"/>
              <w:rPr>
                <w:sz w:val="20"/>
                <w:szCs w:val="20"/>
              </w:rPr>
            </w:pPr>
            <w:r>
              <w:rPr>
                <w:sz w:val="20"/>
                <w:szCs w:val="20"/>
              </w:rPr>
              <w:t>Emprunts (relais TVA – équipement)</w:t>
            </w:r>
          </w:p>
        </w:tc>
        <w:tc>
          <w:tcPr>
            <w:tcW w:w="1440" w:type="dxa"/>
            <w:tcBorders>
              <w:top w:val="nil"/>
              <w:left w:val="single" w:sz="2" w:space="0" w:color="000000"/>
              <w:bottom w:val="single" w:sz="2" w:space="0" w:color="000000"/>
              <w:right w:val="single" w:sz="2" w:space="0" w:color="000000"/>
            </w:tcBorders>
          </w:tcPr>
          <w:p w:rsidR="00BF3DD9" w:rsidRDefault="00BF3DD9" w:rsidP="00A13292">
            <w:pPr>
              <w:snapToGrid w:val="0"/>
              <w:jc w:val="center"/>
              <w:rPr>
                <w:sz w:val="20"/>
                <w:szCs w:val="20"/>
              </w:rPr>
            </w:pPr>
            <w:r>
              <w:rPr>
                <w:sz w:val="20"/>
                <w:szCs w:val="20"/>
              </w:rPr>
              <w:t>96 400,00</w:t>
            </w:r>
          </w:p>
        </w:tc>
      </w:tr>
    </w:tbl>
    <w:bookmarkEnd w:id="0"/>
    <w:p w:rsidR="00BF3DD9" w:rsidRDefault="00BF3DD9" w:rsidP="00060684">
      <w:pPr>
        <w:jc w:val="center"/>
        <w:rPr>
          <w:bCs/>
          <w:i/>
          <w:iCs/>
          <w:sz w:val="22"/>
        </w:rPr>
      </w:pPr>
      <w:r>
        <w:rPr>
          <w:bCs/>
          <w:i/>
          <w:iCs/>
          <w:sz w:val="22"/>
        </w:rPr>
        <w:t>Nota : Le détail du budget peut-être consulté au secrétariat de mairie.</w:t>
      </w:r>
    </w:p>
    <w:p w:rsidR="00BF3DD9" w:rsidRDefault="00BF3DD9" w:rsidP="00060684">
      <w:pPr>
        <w:jc w:val="both"/>
        <w:rPr>
          <w:b/>
          <w:bCs/>
          <w:u w:val="single"/>
        </w:rPr>
      </w:pPr>
    </w:p>
    <w:p w:rsidR="00BF3DD9" w:rsidRDefault="00BF3DD9" w:rsidP="00060684">
      <w:pPr>
        <w:jc w:val="both"/>
        <w:rPr>
          <w:b/>
          <w:bCs/>
          <w:u w:val="single"/>
        </w:rPr>
      </w:pPr>
      <w:r>
        <w:rPr>
          <w:b/>
          <w:bCs/>
          <w:u w:val="single"/>
        </w:rPr>
        <w:t>Subventions et participations :</w:t>
      </w:r>
    </w:p>
    <w:p w:rsidR="00BF3DD9" w:rsidRPr="008F2A78" w:rsidRDefault="00BF3DD9" w:rsidP="00060684">
      <w:pPr>
        <w:jc w:val="both"/>
        <w:rPr>
          <w:b/>
          <w:bCs/>
          <w:sz w:val="20"/>
          <w:u w:val="single"/>
        </w:rPr>
      </w:pPr>
    </w:p>
    <w:p w:rsidR="00BF3DD9" w:rsidRDefault="00BF3DD9" w:rsidP="00060684">
      <w:pPr>
        <w:suppressAutoHyphens/>
        <w:jc w:val="both"/>
      </w:pPr>
      <w:r>
        <w:rPr>
          <w:u w:val="single"/>
        </w:rPr>
        <w:t>Participations</w:t>
      </w:r>
      <w:r>
        <w:t xml:space="preserve"> : SIVOS ATAV : </w:t>
      </w:r>
      <w:r w:rsidRPr="00CB3853">
        <w:t>6</w:t>
      </w:r>
      <w:r>
        <w:t>0</w:t>
      </w:r>
      <w:r w:rsidRPr="00CB3853">
        <w:t xml:space="preserve"> </w:t>
      </w:r>
      <w:r>
        <w:t>0</w:t>
      </w:r>
      <w:r w:rsidRPr="00CB3853">
        <w:t>00 €</w:t>
      </w:r>
      <w:r>
        <w:t xml:space="preserve"> - SDEG16 : 1 954 € - ATD16 : 799,60  € - Syndicat Fourrière : 398,25 € - Communauté de Communes pour les  Autorisations d’Urbanisme : 1142,00 €</w:t>
      </w:r>
    </w:p>
    <w:p w:rsidR="00BF3DD9" w:rsidRDefault="00BF3DD9" w:rsidP="00E3280B">
      <w:pPr>
        <w:suppressAutoHyphens/>
      </w:pPr>
      <w:r>
        <w:rPr>
          <w:u w:val="single"/>
        </w:rPr>
        <w:t xml:space="preserve">Subventions aux associations hors commune </w:t>
      </w:r>
      <w:r>
        <w:t>: ADMR (90 €)–RASED (44 €)–Banque alimentaire (90 €) – Cercle des jeunes de Montignac (90 €) – Donneurs de sang (90 €) – Association des Maires de Charente     (209 €) – APISAB (90 €) – FCOL (75 €) – MNT (250 €) – Pompiers Mansle (50€)</w:t>
      </w:r>
    </w:p>
    <w:p w:rsidR="00BF3DD9" w:rsidRDefault="00BF3DD9" w:rsidP="00060684">
      <w:pPr>
        <w:suppressAutoHyphens/>
        <w:jc w:val="both"/>
        <w:rPr>
          <w:b/>
          <w:bCs/>
          <w:i/>
        </w:rPr>
      </w:pPr>
      <w:r>
        <w:rPr>
          <w:b/>
          <w:i/>
        </w:rPr>
        <w:t xml:space="preserve">Pour les subventions aux associations locales,  je demande dès à présent aux président(e)s de me transmettre une demande accompagnée des budgets et pièces nécessaires pour l'attribution d'une subvention avant le </w:t>
      </w:r>
      <w:r>
        <w:rPr>
          <w:b/>
          <w:bCs/>
          <w:i/>
          <w:u w:val="single"/>
        </w:rPr>
        <w:t>30 Juin 2018</w:t>
      </w:r>
      <w:r>
        <w:rPr>
          <w:b/>
          <w:bCs/>
          <w:i/>
        </w:rPr>
        <w:t>.</w:t>
      </w:r>
    </w:p>
    <w:p w:rsidR="00BF3DD9" w:rsidRDefault="00BF3DD9" w:rsidP="00060684">
      <w:pPr>
        <w:suppressAutoHyphens/>
        <w:jc w:val="both"/>
        <w:rPr>
          <w:b/>
          <w:bCs/>
          <w:i/>
          <w:sz w:val="20"/>
          <w:szCs w:val="20"/>
          <w:lang w:eastAsia="ar-SA"/>
        </w:rPr>
      </w:pPr>
    </w:p>
    <w:p w:rsidR="00BF3DD9" w:rsidRDefault="00BF3DD9" w:rsidP="00060684">
      <w:pPr>
        <w:suppressAutoHyphens/>
        <w:jc w:val="both"/>
        <w:rPr>
          <w:b/>
          <w:bCs/>
          <w:i/>
          <w:sz w:val="20"/>
          <w:szCs w:val="20"/>
          <w:lang w:eastAsia="ar-SA"/>
        </w:rPr>
      </w:pPr>
    </w:p>
    <w:p w:rsidR="00BF3DD9" w:rsidRDefault="00BF3DD9" w:rsidP="00060684">
      <w:pPr>
        <w:pStyle w:val="Liste"/>
        <w:suppressAutoHyphens w:val="0"/>
        <w:overflowPunct/>
        <w:jc w:val="left"/>
      </w:pPr>
      <w:r>
        <w:rPr>
          <w:b/>
          <w:u w:val="single"/>
        </w:rPr>
        <w:t>Taux d’imposition des taxes locales pour 2018</w:t>
      </w:r>
      <w:r>
        <w:t> :</w:t>
      </w:r>
    </w:p>
    <w:p w:rsidR="00BF3DD9" w:rsidRPr="008F2A78" w:rsidRDefault="00BF3DD9" w:rsidP="00060684">
      <w:pPr>
        <w:pStyle w:val="Liste"/>
        <w:suppressAutoHyphens w:val="0"/>
        <w:overflowPunct/>
        <w:jc w:val="left"/>
        <w:rPr>
          <w:sz w:val="20"/>
        </w:rPr>
      </w:pPr>
    </w:p>
    <w:p w:rsidR="00BF3DD9" w:rsidRDefault="00BF3DD9" w:rsidP="00060684">
      <w:pPr>
        <w:pStyle w:val="Liste"/>
        <w:suppressAutoHyphens w:val="0"/>
        <w:overflowPunct/>
        <w:jc w:val="left"/>
      </w:pPr>
      <w:r>
        <w:rPr>
          <w:b/>
        </w:rPr>
        <w:t>Les taux 2018 sont identiques à ceux de 2017</w:t>
      </w:r>
      <w:r>
        <w:t xml:space="preserve"> et s’établissent comme suit :</w:t>
      </w:r>
    </w:p>
    <w:p w:rsidR="00BF3DD9" w:rsidRDefault="00BF3DD9" w:rsidP="00060684">
      <w:pPr>
        <w:pStyle w:val="Liste"/>
        <w:suppressAutoHyphens w:val="0"/>
        <w:overflowPunct/>
        <w:jc w:val="left"/>
      </w:pPr>
      <w:r>
        <w:t>Taxe d’habitation : 16,11 % ;  Taxe foncière (bâti) : 21,00 % ; Taxe foncière (non bâti) : 64,38 %</w:t>
      </w:r>
    </w:p>
    <w:p w:rsidR="00BF3DD9" w:rsidRDefault="00BF3DD9" w:rsidP="00060684">
      <w:pPr>
        <w:pStyle w:val="Liste"/>
        <w:suppressAutoHyphens w:val="0"/>
        <w:overflowPunct/>
        <w:jc w:val="left"/>
      </w:pPr>
      <w:r>
        <w:t>CFE (Cotisation Foncière des Entreprises) : 21,57 %</w:t>
      </w:r>
    </w:p>
    <w:p w:rsidR="00BF3DD9" w:rsidRDefault="00BF3DD9" w:rsidP="00060684">
      <w:pPr>
        <w:pStyle w:val="Liste"/>
        <w:suppressAutoHyphens w:val="0"/>
        <w:overflowPunct/>
        <w:jc w:val="left"/>
      </w:pPr>
    </w:p>
    <w:p w:rsidR="00BF3DD9" w:rsidRDefault="00BF3DD9" w:rsidP="00060684">
      <w:pPr>
        <w:ind w:left="-540" w:firstLine="540"/>
        <w:jc w:val="both"/>
      </w:pPr>
      <w:r>
        <w:rPr>
          <w:b/>
          <w:bCs/>
          <w:u w:val="single"/>
        </w:rPr>
        <w:t>Cérémonie du 8 mai</w:t>
      </w:r>
      <w:r w:rsidRPr="008839C0">
        <w:t> :</w:t>
      </w:r>
    </w:p>
    <w:p w:rsidR="00BF3DD9" w:rsidRPr="008F2A78" w:rsidRDefault="00BF3DD9" w:rsidP="00060684">
      <w:pPr>
        <w:ind w:left="-540" w:firstLine="540"/>
        <w:jc w:val="both"/>
        <w:rPr>
          <w:sz w:val="20"/>
        </w:rPr>
      </w:pPr>
    </w:p>
    <w:p w:rsidR="00BF3DD9" w:rsidRPr="00403C63" w:rsidRDefault="00BF3DD9" w:rsidP="00060684">
      <w:r w:rsidRPr="00403C63">
        <w:t>Le Conseil municipal et les Anciens Combattants de la commune vous invitent à la commémoration de la Victoire de 1945 qui se déroulera à  10h30 Dépôt de gerbes sur la stèle du monument Américain (Jauldes), puis sur la stèle du crash de l'avion US (Aussac-Vadalle) et à 11h15 à la croix d'Aussac suivi du dépôt de gerbes au monument aux morts.</w:t>
      </w:r>
    </w:p>
    <w:p w:rsidR="00BF3DD9" w:rsidRDefault="00BF3DD9" w:rsidP="00060684">
      <w:r w:rsidRPr="00403C63">
        <w:t xml:space="preserve">Nous nous retrouverons tous ensuite au centre socioculturel pour le verre de l'amitié. </w:t>
      </w:r>
    </w:p>
    <w:p w:rsidR="00BF3DD9" w:rsidRPr="008F2A78" w:rsidRDefault="00BF3DD9" w:rsidP="00060684">
      <w:pPr>
        <w:rPr>
          <w:sz w:val="20"/>
        </w:rPr>
      </w:pPr>
    </w:p>
    <w:p w:rsidR="00BF3DD9" w:rsidRDefault="00BF3DD9" w:rsidP="00060684">
      <w:pPr>
        <w:ind w:left="-540" w:firstLine="540"/>
        <w:jc w:val="both"/>
      </w:pPr>
      <w:r w:rsidRPr="008839C0">
        <w:rPr>
          <w:b/>
          <w:bCs/>
          <w:u w:val="single"/>
        </w:rPr>
        <w:t>Course cycliste</w:t>
      </w:r>
      <w:r w:rsidRPr="008839C0">
        <w:t> :</w:t>
      </w:r>
    </w:p>
    <w:p w:rsidR="00BF3DD9" w:rsidRPr="008F2A78" w:rsidRDefault="00BF3DD9" w:rsidP="00060684">
      <w:pPr>
        <w:jc w:val="both"/>
        <w:rPr>
          <w:sz w:val="20"/>
        </w:rPr>
      </w:pPr>
    </w:p>
    <w:p w:rsidR="00BF3DD9" w:rsidRDefault="00BF3DD9" w:rsidP="00060684">
      <w:r w:rsidRPr="008839C0">
        <w:t xml:space="preserve">La course cycliste annuelle se déroulera le </w:t>
      </w:r>
      <w:r>
        <w:rPr>
          <w:b/>
        </w:rPr>
        <w:t>dimanche 6</w:t>
      </w:r>
      <w:r w:rsidRPr="00372950">
        <w:rPr>
          <w:b/>
        </w:rPr>
        <w:t xml:space="preserve"> </w:t>
      </w:r>
      <w:r>
        <w:rPr>
          <w:b/>
        </w:rPr>
        <w:t>mai</w:t>
      </w:r>
      <w:r>
        <w:t xml:space="preserve">  de 15 heures à 17 heures 30. Pour plus de renseignements, veuillez contacter le Président au 05.45.20.67.87</w:t>
      </w:r>
    </w:p>
    <w:p w:rsidR="00BF3DD9" w:rsidRPr="00D15236" w:rsidRDefault="00BF3DD9" w:rsidP="00060684">
      <w:pPr>
        <w:suppressAutoHyphens/>
        <w:rPr>
          <w:b/>
          <w:i/>
          <w:sz w:val="20"/>
          <w:u w:val="single"/>
        </w:rPr>
      </w:pPr>
      <w:r w:rsidRPr="00D15236">
        <w:rPr>
          <w:b/>
          <w:i/>
        </w:rPr>
        <w:t>Attention : la circulation sera interdite rue Fraiche Bise de la RD 15 à l’intersection de la rue de la Maréchalerie, sauf aux riverains. Une déviation sera prévue à cet effet.</w:t>
      </w:r>
    </w:p>
    <w:p w:rsidR="00BF3DD9" w:rsidRPr="00D15236" w:rsidRDefault="00BF3DD9" w:rsidP="00060684">
      <w:pPr>
        <w:suppressAutoHyphens/>
        <w:jc w:val="center"/>
        <w:rPr>
          <w:b/>
          <w:i/>
        </w:rPr>
      </w:pPr>
      <w:r w:rsidRPr="00D15236">
        <w:rPr>
          <w:b/>
          <w:i/>
        </w:rPr>
        <w:t>Pensez à respecter le sens de la course et à tenir vos animaux domestiques en dehors du parcours.</w:t>
      </w:r>
    </w:p>
    <w:p w:rsidR="00BF3DD9" w:rsidRPr="00403C63" w:rsidRDefault="00BF3DD9" w:rsidP="00060684">
      <w:pPr>
        <w:suppressAutoHyphens/>
        <w:jc w:val="center"/>
      </w:pPr>
    </w:p>
    <w:p w:rsidR="00BF3DD9" w:rsidRPr="004044D8" w:rsidRDefault="00BF3DD9" w:rsidP="00866D07">
      <w:pPr>
        <w:ind w:left="-540" w:firstLine="540"/>
        <w:jc w:val="both"/>
        <w:rPr>
          <w:b/>
          <w:u w:val="single"/>
        </w:rPr>
      </w:pPr>
      <w:r>
        <w:rPr>
          <w:b/>
          <w:bCs/>
          <w:u w:val="single"/>
        </w:rPr>
        <w:t>Eglise Saint Pierre d’Aussac</w:t>
      </w:r>
      <w:r w:rsidRPr="004044D8">
        <w:rPr>
          <w:b/>
          <w:u w:val="single"/>
        </w:rPr>
        <w:t> :</w:t>
      </w:r>
    </w:p>
    <w:p w:rsidR="00BF3DD9" w:rsidRDefault="00BF3DD9" w:rsidP="00866D07">
      <w:pPr>
        <w:ind w:left="-540" w:firstLine="540"/>
        <w:jc w:val="both"/>
      </w:pPr>
    </w:p>
    <w:p w:rsidR="00BF3DD9" w:rsidRDefault="00BF3DD9" w:rsidP="00866D07">
      <w:pPr>
        <w:jc w:val="both"/>
      </w:pPr>
      <w:r>
        <w:t xml:space="preserve">L’entreprise  de peinture « Gaylor Brunet » de Ravaud a terminé la réfection intérieure de la voute de la nef de l’église. Ces travaux étaient rendus nécessaires suite aux infiltrations d’eau de pluie qui avait endommagé gravement le plafond par endroit. </w:t>
      </w:r>
    </w:p>
    <w:p w:rsidR="00BF3DD9" w:rsidRDefault="00BF3DD9" w:rsidP="00060684"/>
    <w:p w:rsidR="00BF3DD9" w:rsidRPr="004044D8" w:rsidRDefault="00BF3DD9" w:rsidP="004044D8">
      <w:pPr>
        <w:ind w:left="-540" w:firstLine="540"/>
        <w:jc w:val="both"/>
        <w:rPr>
          <w:b/>
          <w:u w:val="single"/>
        </w:rPr>
      </w:pPr>
      <w:r w:rsidRPr="004044D8">
        <w:rPr>
          <w:b/>
          <w:bCs/>
          <w:u w:val="single"/>
        </w:rPr>
        <w:t xml:space="preserve">Enedis </w:t>
      </w:r>
      <w:r>
        <w:rPr>
          <w:b/>
          <w:bCs/>
          <w:u w:val="single"/>
        </w:rPr>
        <w:t>-</w:t>
      </w:r>
      <w:r w:rsidRPr="004044D8">
        <w:rPr>
          <w:b/>
          <w:u w:val="single"/>
        </w:rPr>
        <w:t xml:space="preserve"> Coupures de courant :</w:t>
      </w:r>
    </w:p>
    <w:p w:rsidR="00BF3DD9" w:rsidRDefault="00BF3DD9" w:rsidP="004044D8">
      <w:pPr>
        <w:ind w:left="-540" w:firstLine="540"/>
        <w:jc w:val="both"/>
      </w:pPr>
    </w:p>
    <w:p w:rsidR="00BF3DD9" w:rsidRDefault="00BF3DD9" w:rsidP="004044D8">
      <w:pPr>
        <w:jc w:val="both"/>
      </w:pPr>
      <w:r>
        <w:t>Enedis nous informe qu’en raison d’un renforcement du réseau électrique à Aussac, des coupures de courant auront lieux le mercredi 16 mai entre 9h00 et 11h15 et 13h30 et 16h30 ;</w:t>
      </w:r>
    </w:p>
    <w:p w:rsidR="00BF3DD9" w:rsidRDefault="00BF3DD9" w:rsidP="004044D8">
      <w:pPr>
        <w:ind w:left="-540" w:firstLine="540"/>
        <w:jc w:val="both"/>
        <w:rPr>
          <w:b/>
          <w:bCs/>
          <w:u w:val="single"/>
        </w:rPr>
      </w:pPr>
    </w:p>
    <w:p w:rsidR="00BF3DD9" w:rsidRDefault="00BF3DD9" w:rsidP="004044D8">
      <w:pPr>
        <w:ind w:left="-540" w:firstLine="540"/>
        <w:jc w:val="both"/>
      </w:pPr>
      <w:r w:rsidRPr="004044D8">
        <w:rPr>
          <w:b/>
          <w:u w:val="single"/>
        </w:rPr>
        <w:t>Aire de Loisirs de Vadalle et Pré de l’Abbaye de Ravaud</w:t>
      </w:r>
      <w:r w:rsidRPr="004044D8">
        <w:t> :</w:t>
      </w:r>
    </w:p>
    <w:p w:rsidR="00BF3DD9" w:rsidRDefault="00BF3DD9"/>
    <w:p w:rsidR="00BF3DD9" w:rsidRDefault="00BF3DD9">
      <w:r>
        <w:t>Un arrêté portant règlement dans les parcs de la commune a été pris. Il est affiché à chaque entrée. Ces parcs sont sous la protection du public et la surveillance de la Gendarmerie. Il est donc du devoir de chacun de s’y conformer mais aussi de veiller à son application.</w:t>
      </w:r>
    </w:p>
    <w:p w:rsidR="00BF3DD9" w:rsidRPr="00046D16" w:rsidRDefault="00BF3DD9" w:rsidP="00D32203">
      <w:pPr>
        <w:spacing w:before="100" w:beforeAutospacing="1" w:after="100" w:afterAutospacing="1"/>
        <w:outlineLvl w:val="0"/>
        <w:rPr>
          <w:b/>
          <w:bCs/>
          <w:kern w:val="36"/>
          <w:u w:val="single"/>
        </w:rPr>
      </w:pPr>
      <w:r w:rsidRPr="00D32203">
        <w:rPr>
          <w:b/>
          <w:bCs/>
          <w:kern w:val="36"/>
          <w:u w:val="single"/>
        </w:rPr>
        <w:t>T</w:t>
      </w:r>
      <w:r w:rsidRPr="00046D16">
        <w:rPr>
          <w:b/>
          <w:bCs/>
          <w:kern w:val="36"/>
          <w:u w:val="single"/>
        </w:rPr>
        <w:t>ravaux d’aménagement de la Traverse d’Aussac</w:t>
      </w:r>
      <w:r>
        <w:rPr>
          <w:b/>
          <w:bCs/>
          <w:kern w:val="36"/>
          <w:u w:val="single"/>
        </w:rPr>
        <w:t> :</w:t>
      </w:r>
    </w:p>
    <w:p w:rsidR="00BF3DD9" w:rsidRDefault="00BF3DD9" w:rsidP="00866D07">
      <w:r w:rsidRPr="00046D16">
        <w:t>La première tranche de travaux consistant en l’effacement des réseaux dans la traverse du bourg d’Aussac est pratiquement achevée.</w:t>
      </w:r>
    </w:p>
    <w:p w:rsidR="00BF3DD9" w:rsidRDefault="00BF3DD9" w:rsidP="00866D07">
      <w:r>
        <w:t>L</w:t>
      </w:r>
      <w:r w:rsidRPr="00046D16">
        <w:t>a RD115 a été</w:t>
      </w:r>
      <w:r>
        <w:t xml:space="preserve"> ouverte</w:t>
      </w:r>
      <w:r w:rsidRPr="00046D16">
        <w:t xml:space="preserve"> à la circulation </w:t>
      </w:r>
      <w:r>
        <w:t xml:space="preserve">avec </w:t>
      </w:r>
      <w:r w:rsidRPr="00046D16">
        <w:t>des réfections provisoires</w:t>
      </w:r>
      <w:r>
        <w:t xml:space="preserve"> de la chaussée</w:t>
      </w:r>
      <w:r w:rsidRPr="00046D16">
        <w:t xml:space="preserve"> comme prévu</w:t>
      </w:r>
      <w:r>
        <w:t>. Un enrobé plus résistant sera réalisé fin avril</w:t>
      </w:r>
      <w:r w:rsidRPr="00046D16">
        <w:t xml:space="preserve">. En ce qui concerne l’éclairage public, seules les lanternes sur façades, sur poteaux ainsi que le candélabre sur </w:t>
      </w:r>
      <w:r>
        <w:t>la place de l’église seront mis</w:t>
      </w:r>
      <w:r w:rsidRPr="00046D16">
        <w:t xml:space="preserve"> en place avant l’aménagement</w:t>
      </w:r>
      <w:r>
        <w:t xml:space="preserve"> définitif envisagé en fin d’année</w:t>
      </w:r>
      <w:r w:rsidRPr="00046D16">
        <w:t>.</w:t>
      </w:r>
    </w:p>
    <w:p w:rsidR="00BF3DD9" w:rsidRDefault="00BF3DD9" w:rsidP="00866D07"/>
    <w:p w:rsidR="00BF3DD9" w:rsidRPr="00046D16" w:rsidRDefault="00BF3DD9" w:rsidP="00866D07">
      <w:r w:rsidRPr="00046D16">
        <w:t>Le planning des travaux restants  s’établit comme suit : </w:t>
      </w:r>
    </w:p>
    <w:p w:rsidR="00BF3DD9" w:rsidRPr="00046D16" w:rsidRDefault="00BF3DD9" w:rsidP="00866D07">
      <w:r w:rsidRPr="00046D16">
        <w:rPr>
          <w:b/>
          <w:bCs/>
          <w:u w:val="single"/>
        </w:rPr>
        <w:t>Phase 1 </w:t>
      </w:r>
      <w:r w:rsidRPr="00046D16">
        <w:rPr>
          <w:b/>
          <w:bCs/>
        </w:rPr>
        <w:t>: Du 05/04/2018 au 15/05/2018</w:t>
      </w:r>
    </w:p>
    <w:p w:rsidR="00BF3DD9" w:rsidRPr="00046D16" w:rsidRDefault="00BF3DD9" w:rsidP="00866D07">
      <w:r w:rsidRPr="00046D16">
        <w:t>Mise en service du réseau souterrain en parallèle du réseau aérien.</w:t>
      </w:r>
    </w:p>
    <w:p w:rsidR="00BF3DD9" w:rsidRPr="00046D16" w:rsidRDefault="00BF3DD9" w:rsidP="00866D07">
      <w:r w:rsidRPr="00046D16">
        <w:t>Basculement des branchements du réseau aérien vers le réseau souterrain.</w:t>
      </w:r>
    </w:p>
    <w:p w:rsidR="00BF3DD9" w:rsidRPr="00046D16" w:rsidRDefault="00BF3DD9" w:rsidP="00866D07">
      <w:r w:rsidRPr="00046D16">
        <w:rPr>
          <w:b/>
          <w:bCs/>
          <w:u w:val="single"/>
        </w:rPr>
        <w:t>Phase 2 </w:t>
      </w:r>
      <w:r w:rsidRPr="00046D16">
        <w:rPr>
          <w:b/>
          <w:bCs/>
        </w:rPr>
        <w:t>: Le 16/05/2018</w:t>
      </w:r>
    </w:p>
    <w:p w:rsidR="00BF3DD9" w:rsidRDefault="00BF3DD9" w:rsidP="00866D07">
      <w:r w:rsidRPr="00046D16">
        <w:t>Coupure des postes « AUSSAC et ROUTE DE NANCLARS » pour la mise en service définiti</w:t>
      </w:r>
      <w:r>
        <w:t>ve du réseau souterrain et du</w:t>
      </w:r>
      <w:r w:rsidRPr="00046D16">
        <w:t xml:space="preserve"> raccordement du réseau aérien</w:t>
      </w:r>
      <w:r>
        <w:t>,</w:t>
      </w:r>
      <w:r w:rsidRPr="00046D16">
        <w:t xml:space="preserve"> excepté le réseau éclairage public.</w:t>
      </w:r>
    </w:p>
    <w:sectPr w:rsidR="00BF3DD9" w:rsidSect="00D15236">
      <w:footerReference w:type="default" r:id="rId7"/>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882" w:rsidRDefault="000D1882" w:rsidP="00976226">
      <w:r>
        <w:separator/>
      </w:r>
    </w:p>
  </w:endnote>
  <w:endnote w:type="continuationSeparator" w:id="1">
    <w:p w:rsidR="000D1882" w:rsidRDefault="000D1882" w:rsidP="009762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D9" w:rsidRPr="00D15236" w:rsidRDefault="00BF3DD9" w:rsidP="0050177C">
    <w:pPr>
      <w:pStyle w:val="Pieddepage"/>
      <w:jc w:val="center"/>
      <w:rPr>
        <w:sz w:val="20"/>
        <w:szCs w:val="20"/>
      </w:rPr>
    </w:pPr>
    <w:r w:rsidRPr="00D15236">
      <w:rPr>
        <w:sz w:val="20"/>
        <w:szCs w:val="20"/>
      </w:rPr>
      <w:t>Mairie 61, rue de la République 16560 AUSSAC-VADALLE</w:t>
    </w:r>
  </w:p>
  <w:p w:rsidR="00BF3DD9" w:rsidRPr="00D15236" w:rsidRDefault="00BF3DD9"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882" w:rsidRDefault="000D1882" w:rsidP="00976226">
      <w:r>
        <w:separator/>
      </w:r>
    </w:p>
  </w:footnote>
  <w:footnote w:type="continuationSeparator" w:id="1">
    <w:p w:rsidR="000D1882" w:rsidRDefault="000D1882" w:rsidP="00976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60684"/>
    <w:rsid w:val="0000765E"/>
    <w:rsid w:val="00042C39"/>
    <w:rsid w:val="00046D16"/>
    <w:rsid w:val="00060684"/>
    <w:rsid w:val="000D1882"/>
    <w:rsid w:val="000F0DA5"/>
    <w:rsid w:val="00124572"/>
    <w:rsid w:val="001247D9"/>
    <w:rsid w:val="00194811"/>
    <w:rsid w:val="001B587C"/>
    <w:rsid w:val="00242162"/>
    <w:rsid w:val="00275AC9"/>
    <w:rsid w:val="00372950"/>
    <w:rsid w:val="003C2B6F"/>
    <w:rsid w:val="00403C63"/>
    <w:rsid w:val="004044D8"/>
    <w:rsid w:val="00415476"/>
    <w:rsid w:val="004D439D"/>
    <w:rsid w:val="0050177C"/>
    <w:rsid w:val="0059264C"/>
    <w:rsid w:val="005D4B5C"/>
    <w:rsid w:val="00612C18"/>
    <w:rsid w:val="006618D4"/>
    <w:rsid w:val="00722E37"/>
    <w:rsid w:val="0073644E"/>
    <w:rsid w:val="00767DBD"/>
    <w:rsid w:val="007A41ED"/>
    <w:rsid w:val="007E5586"/>
    <w:rsid w:val="00807A8B"/>
    <w:rsid w:val="00866D07"/>
    <w:rsid w:val="008839C0"/>
    <w:rsid w:val="008B3288"/>
    <w:rsid w:val="008F2A78"/>
    <w:rsid w:val="00970108"/>
    <w:rsid w:val="00976226"/>
    <w:rsid w:val="00A13292"/>
    <w:rsid w:val="00A76B9D"/>
    <w:rsid w:val="00AE166C"/>
    <w:rsid w:val="00B06BFA"/>
    <w:rsid w:val="00B07D6B"/>
    <w:rsid w:val="00BA1280"/>
    <w:rsid w:val="00BF3DD9"/>
    <w:rsid w:val="00C33FAC"/>
    <w:rsid w:val="00C5322B"/>
    <w:rsid w:val="00CB3853"/>
    <w:rsid w:val="00D1041C"/>
    <w:rsid w:val="00D15236"/>
    <w:rsid w:val="00D32203"/>
    <w:rsid w:val="00DF2542"/>
    <w:rsid w:val="00E103AE"/>
    <w:rsid w:val="00E3280B"/>
    <w:rsid w:val="00E47F66"/>
    <w:rsid w:val="00EB2FD0"/>
    <w:rsid w:val="00F20841"/>
    <w:rsid w:val="00F37E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8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060684"/>
    <w:pPr>
      <w:suppressLineNumbers/>
      <w:suppressAutoHyphens/>
      <w:overflowPunct w:val="0"/>
      <w:autoSpaceDE w:val="0"/>
      <w:textAlignment w:val="baseline"/>
    </w:pPr>
    <w:rPr>
      <w:rFonts w:cs="Tahoma"/>
      <w:sz w:val="20"/>
      <w:szCs w:val="20"/>
      <w:lang w:eastAsia="ar-SA"/>
    </w:rPr>
  </w:style>
  <w:style w:type="paragraph" w:styleId="Sous-titre">
    <w:name w:val="Subtitle"/>
    <w:basedOn w:val="Normal"/>
    <w:link w:val="Sous-titreCar"/>
    <w:uiPriority w:val="99"/>
    <w:qFormat/>
    <w:rsid w:val="0006068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060684"/>
    <w:rPr>
      <w:rFonts w:ascii="Arial" w:hAnsi="Arial" w:cs="Arial"/>
      <w:sz w:val="24"/>
      <w:szCs w:val="24"/>
      <w:lang w:eastAsia="fr-FR"/>
    </w:rPr>
  </w:style>
  <w:style w:type="paragraph" w:styleId="Pieddepage">
    <w:name w:val="footer"/>
    <w:basedOn w:val="Normal"/>
    <w:link w:val="PieddepageCar"/>
    <w:uiPriority w:val="99"/>
    <w:rsid w:val="00060684"/>
    <w:pPr>
      <w:tabs>
        <w:tab w:val="center" w:pos="4536"/>
        <w:tab w:val="right" w:pos="9072"/>
      </w:tabs>
    </w:pPr>
  </w:style>
  <w:style w:type="character" w:customStyle="1" w:styleId="PieddepageCar">
    <w:name w:val="Pied de page Car"/>
    <w:basedOn w:val="Policepardfaut"/>
    <w:link w:val="Pieddepage"/>
    <w:uiPriority w:val="99"/>
    <w:locked/>
    <w:rsid w:val="00060684"/>
    <w:rPr>
      <w:rFonts w:ascii="Times New Roman" w:hAnsi="Times New Roman" w:cs="Times New Roman"/>
      <w:sz w:val="24"/>
      <w:szCs w:val="24"/>
      <w:lang w:eastAsia="fr-FR"/>
    </w:rPr>
  </w:style>
  <w:style w:type="paragraph" w:styleId="Liste">
    <w:name w:val="List"/>
    <w:basedOn w:val="Normal"/>
    <w:uiPriority w:val="99"/>
    <w:rsid w:val="00060684"/>
    <w:pPr>
      <w:suppressAutoHyphens/>
      <w:overflowPunct w:val="0"/>
      <w:autoSpaceDE w:val="0"/>
      <w:jc w:val="both"/>
    </w:pPr>
    <w:rPr>
      <w:rFonts w:cs="Tahoma"/>
      <w:bCs/>
      <w:lang w:eastAsia="ar-SA"/>
    </w:rPr>
  </w:style>
  <w:style w:type="paragraph" w:styleId="Corpsdetexte">
    <w:name w:val="Body Text"/>
    <w:basedOn w:val="Normal"/>
    <w:link w:val="CorpsdetexteCar"/>
    <w:uiPriority w:val="99"/>
    <w:semiHidden/>
    <w:rsid w:val="00060684"/>
    <w:pPr>
      <w:spacing w:after="120"/>
    </w:pPr>
  </w:style>
  <w:style w:type="character" w:customStyle="1" w:styleId="CorpsdetexteCar">
    <w:name w:val="Corps de texte Car"/>
    <w:basedOn w:val="Policepardfaut"/>
    <w:link w:val="Corpsdetexte"/>
    <w:uiPriority w:val="99"/>
    <w:semiHidden/>
    <w:locked/>
    <w:rsid w:val="00060684"/>
    <w:rPr>
      <w:rFonts w:ascii="Times New Roman" w:hAnsi="Times New Roman" w:cs="Times New Roman"/>
      <w:sz w:val="24"/>
      <w:szCs w:val="24"/>
      <w:lang w:eastAsia="fr-FR"/>
    </w:rPr>
  </w:style>
  <w:style w:type="paragraph" w:styleId="En-tte">
    <w:name w:val="header"/>
    <w:basedOn w:val="Normal"/>
    <w:link w:val="En-tteCar"/>
    <w:uiPriority w:val="99"/>
    <w:rsid w:val="00D15236"/>
    <w:pPr>
      <w:tabs>
        <w:tab w:val="center" w:pos="4536"/>
        <w:tab w:val="right" w:pos="9072"/>
      </w:tabs>
    </w:pPr>
  </w:style>
  <w:style w:type="character" w:customStyle="1" w:styleId="En-tteCar">
    <w:name w:val="En-tête Car"/>
    <w:basedOn w:val="Policepardfaut"/>
    <w:link w:val="En-tte"/>
    <w:uiPriority w:val="99"/>
    <w:semiHidden/>
    <w:locked/>
    <w:rsid w:val="00807A8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1018</Words>
  <Characters>5603</Characters>
  <Application>Microsoft Office Word</Application>
  <DocSecurity>0</DocSecurity>
  <Lines>46</Lines>
  <Paragraphs>13</Paragraphs>
  <ScaleCrop>false</ScaleCrop>
  <Company>Hewlett-Packard Company</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2018-04-23T06:57:00Z</cp:lastPrinted>
  <dcterms:created xsi:type="dcterms:W3CDTF">2018-04-23T06:57:00Z</dcterms:created>
  <dcterms:modified xsi:type="dcterms:W3CDTF">2018-04-23T06:57:00Z</dcterms:modified>
</cp:coreProperties>
</file>