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83C9B" w14:textId="77777777" w:rsidR="00EE014A" w:rsidRPr="00EE014A" w:rsidRDefault="00EE014A" w:rsidP="006F53FE">
      <w:pPr>
        <w:contextualSpacing/>
        <w:rPr>
          <w:rFonts w:asciiTheme="minorHAnsi" w:hAnsiTheme="minorHAnsi" w:cstheme="minorHAnsi"/>
        </w:rPr>
      </w:pPr>
    </w:p>
    <w:p w14:paraId="3B49C147" w14:textId="77777777" w:rsidR="00EE014A" w:rsidRDefault="00EE014A" w:rsidP="006F53FE">
      <w:pPr>
        <w:contextualSpacing/>
        <w:rPr>
          <w:rFonts w:ascii="Century Gothic" w:hAnsi="Century Gothic"/>
          <w:b/>
        </w:rPr>
      </w:pPr>
      <w:r>
        <w:rPr>
          <w:rFonts w:ascii="Century Gothic" w:hAnsi="Century Gothic"/>
          <w:b/>
        </w:rPr>
        <w:t xml:space="preserve">Procédure : </w:t>
      </w:r>
      <w:r w:rsidR="003D303F">
        <w:rPr>
          <w:rFonts w:ascii="Century Gothic" w:hAnsi="Century Gothic"/>
          <w:b/>
        </w:rPr>
        <w:t>DÉLIVRANCE DES ACTES D’ÉTAT CIVIL</w:t>
      </w:r>
    </w:p>
    <w:p w14:paraId="178898C3" w14:textId="77777777" w:rsidR="00EE014A" w:rsidRPr="00EE014A" w:rsidRDefault="00EE014A" w:rsidP="006F53FE">
      <w:pPr>
        <w:contextualSpacing/>
        <w:jc w:val="both"/>
        <w:rPr>
          <w:rFonts w:ascii="Calibri" w:hAnsi="Calibri" w:cs="Calibri"/>
          <w:sz w:val="20"/>
        </w:rPr>
      </w:pPr>
    </w:p>
    <w:p w14:paraId="6C6E3E07" w14:textId="77777777" w:rsidR="00744BA7" w:rsidRPr="00EE014A" w:rsidRDefault="00744BA7" w:rsidP="00744BA7">
      <w:pPr>
        <w:contextualSpacing/>
        <w:jc w:val="both"/>
        <w:rPr>
          <w:rFonts w:asciiTheme="minorHAnsi" w:hAnsiTheme="minorHAnsi" w:cstheme="minorHAnsi"/>
          <w:sz w:val="20"/>
        </w:rPr>
      </w:pPr>
    </w:p>
    <w:p w14:paraId="5C4E9644"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264C8CE2" wp14:editId="61C5943D">
                <wp:simplePos x="0" y="0"/>
                <wp:positionH relativeFrom="column">
                  <wp:posOffset>17145</wp:posOffset>
                </wp:positionH>
                <wp:positionV relativeFrom="paragraph">
                  <wp:posOffset>17145</wp:posOffset>
                </wp:positionV>
                <wp:extent cx="6057900" cy="0"/>
                <wp:effectExtent l="7620" t="7620" r="11430" b="114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0CF6A"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ccvw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"/>
            </w:pict>
          </mc:Fallback>
        </mc:AlternateContent>
      </w:r>
    </w:p>
    <w:p w14:paraId="4DE79521" w14:textId="77777777" w:rsidR="00EE014A" w:rsidRPr="00EE014A" w:rsidRDefault="00896EB3" w:rsidP="006F53FE">
      <w:pPr>
        <w:contextualSpacing/>
        <w:jc w:val="center"/>
        <w:rPr>
          <w:rFonts w:asciiTheme="minorHAnsi" w:hAnsiTheme="minorHAnsi" w:cstheme="minorHAnsi"/>
          <w:b/>
          <w:sz w:val="20"/>
        </w:rPr>
      </w:pPr>
      <w:r>
        <w:rPr>
          <w:rFonts w:asciiTheme="minorHAnsi" w:hAnsiTheme="minorHAnsi" w:cstheme="minorHAnsi"/>
          <w:b/>
          <w:sz w:val="20"/>
        </w:rPr>
        <w:t>LA PROCÉ</w:t>
      </w:r>
      <w:r w:rsidR="00EE014A" w:rsidRPr="00EE014A">
        <w:rPr>
          <w:rFonts w:asciiTheme="minorHAnsi" w:hAnsiTheme="minorHAnsi" w:cstheme="minorHAnsi"/>
          <w:b/>
          <w:sz w:val="20"/>
        </w:rPr>
        <w:t>DURE</w:t>
      </w:r>
      <w:r w:rsidR="00433086">
        <w:rPr>
          <w:rFonts w:asciiTheme="minorHAnsi" w:hAnsiTheme="minorHAnsi" w:cstheme="minorHAnsi"/>
          <w:b/>
          <w:sz w:val="20"/>
        </w:rPr>
        <w:t> : A QUI PEUT-ON DÉLIVRER QUOI ?</w:t>
      </w:r>
    </w:p>
    <w:p w14:paraId="4850F871" w14:textId="77777777" w:rsidR="00EE014A" w:rsidRPr="00EE014A" w:rsidRDefault="00EE014A" w:rsidP="006F53FE">
      <w:pPr>
        <w:contextualSpacing/>
        <w:jc w:val="center"/>
        <w:rPr>
          <w:rFonts w:asciiTheme="minorHAnsi" w:hAnsiTheme="minorHAnsi" w:cstheme="minorHAnsi"/>
          <w:b/>
          <w:sz w:val="20"/>
        </w:rPr>
      </w:pPr>
    </w:p>
    <w:p w14:paraId="6557DEA4"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73D4D5B4" wp14:editId="471749A9">
                <wp:simplePos x="0" y="0"/>
                <wp:positionH relativeFrom="column">
                  <wp:posOffset>17145</wp:posOffset>
                </wp:positionH>
                <wp:positionV relativeFrom="paragraph">
                  <wp:posOffset>58420</wp:posOffset>
                </wp:positionV>
                <wp:extent cx="6057900" cy="0"/>
                <wp:effectExtent l="7620" t="10795" r="11430" b="82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2CE4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Gqzlm7AAQAAaQMAAA4AAAAAAAAAAAAAAAAALgIAAGRy&#10;cy9lMm9Eb2MueG1sUEsBAi0AFAAGAAgAAAAhADMPFAHZAAAABQEAAA8AAAAAAAAAAAAAAAAAGgQA&#10;AGRycy9kb3ducmV2LnhtbFBLBQYAAAAABAAEAPMAAAAgBQAAAAA=&#10;"/>
            </w:pict>
          </mc:Fallback>
        </mc:AlternateContent>
      </w:r>
    </w:p>
    <w:p w14:paraId="77052060" w14:textId="77777777" w:rsidR="003D303F" w:rsidRPr="00433086" w:rsidRDefault="003D303F" w:rsidP="003D303F">
      <w:pPr>
        <w:contextualSpacing/>
        <w:rPr>
          <w:rFonts w:asciiTheme="minorHAnsi" w:hAnsiTheme="minorHAnsi" w:cstheme="minorHAnsi"/>
          <w:b/>
          <w:sz w:val="20"/>
        </w:rPr>
      </w:pPr>
      <w:r w:rsidRPr="00433086">
        <w:rPr>
          <w:rFonts w:asciiTheme="minorHAnsi" w:hAnsiTheme="minorHAnsi" w:cstheme="minorHAnsi"/>
          <w:b/>
          <w:sz w:val="20"/>
        </w:rPr>
        <w:t>COPIE INTÉGRALE</w:t>
      </w:r>
    </w:p>
    <w:p w14:paraId="1AB80B2C" w14:textId="77777777" w:rsidR="003D303F" w:rsidRPr="003D303F" w:rsidRDefault="003D303F" w:rsidP="003D303F">
      <w:pPr>
        <w:contextualSpacing/>
        <w:rPr>
          <w:rFonts w:asciiTheme="minorHAnsi" w:hAnsiTheme="minorHAnsi" w:cstheme="minorHAnsi"/>
          <w:sz w:val="20"/>
        </w:rPr>
      </w:pPr>
    </w:p>
    <w:p w14:paraId="21915A0C"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 xml:space="preserve">la personne concernée par l'acte (à condition d'être majeure), </w:t>
      </w:r>
    </w:p>
    <w:p w14:paraId="603847A3" w14:textId="77777777" w:rsidR="003D303F" w:rsidRPr="003D303F" w:rsidRDefault="003D303F" w:rsidP="00E600A5">
      <w:pPr>
        <w:ind w:left="705" w:hanging="705"/>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r>
      <w:r w:rsidR="00AC2CC6" w:rsidRPr="00AC2CC6">
        <w:rPr>
          <w:rFonts w:asciiTheme="minorHAnsi" w:hAnsiTheme="minorHAnsi" w:cstheme="minorHAnsi"/>
          <w:sz w:val="20"/>
        </w:rPr>
        <w:t xml:space="preserve">son représentant légal et </w:t>
      </w:r>
      <w:r w:rsidR="00E600A5">
        <w:rPr>
          <w:rFonts w:asciiTheme="minorHAnsi" w:hAnsiTheme="minorHAnsi" w:cstheme="minorHAnsi"/>
          <w:sz w:val="20"/>
        </w:rPr>
        <w:t>les</w:t>
      </w:r>
      <w:r w:rsidR="00AC2CC6" w:rsidRPr="00AC2CC6">
        <w:rPr>
          <w:rFonts w:asciiTheme="minorHAnsi" w:hAnsiTheme="minorHAnsi" w:cstheme="minorHAnsi"/>
          <w:sz w:val="20"/>
        </w:rPr>
        <w:t xml:space="preserve"> personnes justifiant d'un mandat écrit ou du dispositif de la décision d'habilitation familiale</w:t>
      </w:r>
      <w:r w:rsidR="00B7299C">
        <w:rPr>
          <w:rFonts w:asciiTheme="minorHAnsi" w:hAnsiTheme="minorHAnsi" w:cstheme="minorHAnsi"/>
          <w:sz w:val="20"/>
        </w:rPr>
        <w:t xml:space="preserve"> (ex : tutelle ou curatelle)</w:t>
      </w:r>
      <w:r w:rsidRPr="003D303F">
        <w:rPr>
          <w:rFonts w:asciiTheme="minorHAnsi" w:hAnsiTheme="minorHAnsi" w:cstheme="minorHAnsi"/>
          <w:sz w:val="20"/>
        </w:rPr>
        <w:t xml:space="preserve">, </w:t>
      </w:r>
    </w:p>
    <w:p w14:paraId="6A212AC7" w14:textId="77777777" w:rsidR="00AC2CC6"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son époux ou son épouse (non divorcé),</w:t>
      </w:r>
    </w:p>
    <w:p w14:paraId="15730A15" w14:textId="77777777" w:rsidR="00AC2CC6" w:rsidRPr="003D303F" w:rsidRDefault="00AC2CC6" w:rsidP="003D303F">
      <w:pPr>
        <w:contextualSpacing/>
        <w:rPr>
          <w:rFonts w:asciiTheme="minorHAnsi" w:hAnsiTheme="minorHAnsi" w:cstheme="minorHAnsi"/>
          <w:sz w:val="20"/>
        </w:rPr>
      </w:pPr>
      <w:r>
        <w:rPr>
          <w:rFonts w:asciiTheme="minorHAnsi" w:hAnsiTheme="minorHAnsi" w:cstheme="minorHAnsi"/>
          <w:sz w:val="20"/>
        </w:rPr>
        <w:t>-</w:t>
      </w:r>
      <w:r>
        <w:rPr>
          <w:rFonts w:asciiTheme="minorHAnsi" w:hAnsiTheme="minorHAnsi" w:cstheme="minorHAnsi"/>
          <w:sz w:val="20"/>
        </w:rPr>
        <w:tab/>
      </w:r>
      <w:r w:rsidRPr="00AC2CC6">
        <w:rPr>
          <w:rFonts w:asciiTheme="minorHAnsi" w:hAnsiTheme="minorHAnsi" w:cstheme="minorHAnsi"/>
          <w:sz w:val="20"/>
        </w:rPr>
        <w:t>son partenaire lié par un pacte civil de solidarité</w:t>
      </w:r>
      <w:r>
        <w:rPr>
          <w:rFonts w:asciiTheme="minorHAnsi" w:hAnsiTheme="minorHAnsi" w:cstheme="minorHAnsi"/>
          <w:sz w:val="20"/>
        </w:rPr>
        <w:t>,</w:t>
      </w:r>
    </w:p>
    <w:p w14:paraId="79568FC8"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un ascendant de la personne concernée (parent, grand-parent),</w:t>
      </w:r>
    </w:p>
    <w:p w14:paraId="08D6E8CA"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un descendant de la personne concernée (enfant, petit-enfant),</w:t>
      </w:r>
    </w:p>
    <w:p w14:paraId="37AD4E0C"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ou un professionnel autorisé par la loi (notaire, avocat pour le compte d'un client par exemple).</w:t>
      </w:r>
    </w:p>
    <w:p w14:paraId="0E97F2D6" w14:textId="77777777" w:rsidR="006E12BD" w:rsidRDefault="006E12BD" w:rsidP="003D303F">
      <w:pPr>
        <w:contextualSpacing/>
        <w:rPr>
          <w:rFonts w:asciiTheme="minorHAnsi" w:hAnsiTheme="minorHAnsi" w:cstheme="minorHAnsi"/>
          <w:sz w:val="20"/>
        </w:rPr>
      </w:pPr>
    </w:p>
    <w:p w14:paraId="764BB25D" w14:textId="77777777" w:rsidR="003D303F" w:rsidRPr="00433086" w:rsidRDefault="003D303F" w:rsidP="003D303F">
      <w:pPr>
        <w:contextualSpacing/>
        <w:rPr>
          <w:rFonts w:asciiTheme="minorHAnsi" w:hAnsiTheme="minorHAnsi" w:cstheme="minorHAnsi"/>
          <w:b/>
          <w:sz w:val="20"/>
        </w:rPr>
      </w:pPr>
      <w:r w:rsidRPr="00433086">
        <w:rPr>
          <w:rFonts w:asciiTheme="minorHAnsi" w:hAnsiTheme="minorHAnsi" w:cstheme="minorHAnsi"/>
          <w:b/>
          <w:sz w:val="20"/>
        </w:rPr>
        <w:t>EXTRAIT AVEC FILIATION</w:t>
      </w:r>
    </w:p>
    <w:p w14:paraId="51068395" w14:textId="77777777" w:rsidR="003D303F" w:rsidRPr="003D303F" w:rsidRDefault="003D303F" w:rsidP="003D303F">
      <w:pPr>
        <w:contextualSpacing/>
        <w:rPr>
          <w:rFonts w:asciiTheme="minorHAnsi" w:hAnsiTheme="minorHAnsi" w:cstheme="minorHAnsi"/>
          <w:sz w:val="20"/>
        </w:rPr>
      </w:pPr>
    </w:p>
    <w:p w14:paraId="01F2D741"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 xml:space="preserve">la personne concernée par l'acte (à condition d'être majeure), </w:t>
      </w:r>
    </w:p>
    <w:p w14:paraId="5C389035" w14:textId="77777777" w:rsidR="003D303F" w:rsidRPr="003D303F" w:rsidRDefault="003D303F" w:rsidP="00E600A5">
      <w:pPr>
        <w:ind w:left="708" w:hanging="705"/>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r>
      <w:r w:rsidR="00E600A5" w:rsidRPr="00AC2CC6">
        <w:rPr>
          <w:rFonts w:asciiTheme="minorHAnsi" w:hAnsiTheme="minorHAnsi" w:cstheme="minorHAnsi"/>
          <w:sz w:val="20"/>
        </w:rPr>
        <w:t xml:space="preserve">son représentant légal et </w:t>
      </w:r>
      <w:r w:rsidR="00E600A5">
        <w:rPr>
          <w:rFonts w:asciiTheme="minorHAnsi" w:hAnsiTheme="minorHAnsi" w:cstheme="minorHAnsi"/>
          <w:sz w:val="20"/>
        </w:rPr>
        <w:t>les</w:t>
      </w:r>
      <w:r w:rsidR="00E600A5" w:rsidRPr="00AC2CC6">
        <w:rPr>
          <w:rFonts w:asciiTheme="minorHAnsi" w:hAnsiTheme="minorHAnsi" w:cstheme="minorHAnsi"/>
          <w:sz w:val="20"/>
        </w:rPr>
        <w:t xml:space="preserve"> personnes justifiant d'un mandat écrit ou du dispositif de la décision d'habilitation familiale</w:t>
      </w:r>
      <w:r w:rsidR="00E600A5">
        <w:rPr>
          <w:rFonts w:asciiTheme="minorHAnsi" w:hAnsiTheme="minorHAnsi" w:cstheme="minorHAnsi"/>
          <w:sz w:val="20"/>
        </w:rPr>
        <w:t xml:space="preserve"> (ex : tutelle ou curatelle)</w:t>
      </w:r>
      <w:r w:rsidR="00E600A5" w:rsidRPr="003D303F">
        <w:rPr>
          <w:rFonts w:asciiTheme="minorHAnsi" w:hAnsiTheme="minorHAnsi" w:cstheme="minorHAnsi"/>
          <w:sz w:val="20"/>
        </w:rPr>
        <w:t>,</w:t>
      </w:r>
    </w:p>
    <w:p w14:paraId="010138EC" w14:textId="77777777" w:rsidR="008B279B"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son époux ou son épouse (non divorcé),</w:t>
      </w:r>
    </w:p>
    <w:p w14:paraId="26F15CEC" w14:textId="77777777" w:rsidR="008B279B" w:rsidRPr="003D303F" w:rsidRDefault="008B279B" w:rsidP="003D303F">
      <w:pPr>
        <w:contextualSpacing/>
        <w:rPr>
          <w:rFonts w:asciiTheme="minorHAnsi" w:hAnsiTheme="minorHAnsi" w:cstheme="minorHAnsi"/>
          <w:sz w:val="20"/>
        </w:rPr>
      </w:pPr>
      <w:r>
        <w:rPr>
          <w:rFonts w:asciiTheme="minorHAnsi" w:hAnsiTheme="minorHAnsi" w:cstheme="minorHAnsi"/>
          <w:sz w:val="20"/>
        </w:rPr>
        <w:t>-</w:t>
      </w:r>
      <w:r>
        <w:rPr>
          <w:rFonts w:asciiTheme="minorHAnsi" w:hAnsiTheme="minorHAnsi" w:cstheme="minorHAnsi"/>
          <w:sz w:val="20"/>
        </w:rPr>
        <w:tab/>
      </w:r>
      <w:r w:rsidRPr="00AC2CC6">
        <w:rPr>
          <w:rFonts w:asciiTheme="minorHAnsi" w:hAnsiTheme="minorHAnsi" w:cstheme="minorHAnsi"/>
          <w:sz w:val="20"/>
        </w:rPr>
        <w:t>son partenaire lié par un pacte civil de solidarité</w:t>
      </w:r>
      <w:r>
        <w:rPr>
          <w:rFonts w:asciiTheme="minorHAnsi" w:hAnsiTheme="minorHAnsi" w:cstheme="minorHAnsi"/>
          <w:sz w:val="20"/>
        </w:rPr>
        <w:t>,</w:t>
      </w:r>
    </w:p>
    <w:p w14:paraId="1486A381"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un ascendant de la personne concernée (parent, grand-parent),</w:t>
      </w:r>
    </w:p>
    <w:p w14:paraId="0C3B3BB5"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un descendant de la personne concernée (enfant, petit-enfant),</w:t>
      </w:r>
    </w:p>
    <w:p w14:paraId="576E548C"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w:t>
      </w:r>
      <w:r w:rsidRPr="003D303F">
        <w:rPr>
          <w:rFonts w:asciiTheme="minorHAnsi" w:hAnsiTheme="minorHAnsi" w:cstheme="minorHAnsi"/>
          <w:sz w:val="20"/>
        </w:rPr>
        <w:tab/>
        <w:t>ou un professionnel autorisé par la loi (</w:t>
      </w:r>
      <w:r w:rsidR="007762E8">
        <w:rPr>
          <w:rFonts w:asciiTheme="minorHAnsi" w:hAnsiTheme="minorHAnsi" w:cstheme="minorHAnsi"/>
          <w:sz w:val="20"/>
        </w:rPr>
        <w:t xml:space="preserve">notaire, </w:t>
      </w:r>
      <w:r w:rsidRPr="003D303F">
        <w:rPr>
          <w:rFonts w:asciiTheme="minorHAnsi" w:hAnsiTheme="minorHAnsi" w:cstheme="minorHAnsi"/>
          <w:sz w:val="20"/>
        </w:rPr>
        <w:t>avocat pour le compte d'un client par exemple).</w:t>
      </w:r>
    </w:p>
    <w:p w14:paraId="3EAE737C" w14:textId="77777777" w:rsidR="003D303F" w:rsidRPr="00433086" w:rsidRDefault="003D303F" w:rsidP="003D303F">
      <w:pPr>
        <w:contextualSpacing/>
        <w:rPr>
          <w:rFonts w:asciiTheme="minorHAnsi" w:hAnsiTheme="minorHAnsi" w:cstheme="minorHAnsi"/>
          <w:b/>
          <w:sz w:val="20"/>
        </w:rPr>
      </w:pPr>
      <w:r w:rsidRPr="00433086">
        <w:rPr>
          <w:rFonts w:asciiTheme="minorHAnsi" w:hAnsiTheme="minorHAnsi" w:cstheme="minorHAnsi"/>
          <w:b/>
          <w:sz w:val="20"/>
        </w:rPr>
        <w:t>EXTRAIT SANS FILIATION</w:t>
      </w:r>
    </w:p>
    <w:p w14:paraId="45913E81" w14:textId="77777777" w:rsidR="003D303F" w:rsidRPr="003D303F" w:rsidRDefault="003D303F" w:rsidP="003D303F">
      <w:pPr>
        <w:contextualSpacing/>
        <w:rPr>
          <w:rFonts w:asciiTheme="minorHAnsi" w:hAnsiTheme="minorHAnsi" w:cstheme="minorHAnsi"/>
          <w:sz w:val="20"/>
        </w:rPr>
      </w:pPr>
    </w:p>
    <w:p w14:paraId="7017A843" w14:textId="77777777" w:rsidR="003D303F" w:rsidRPr="003D303F" w:rsidRDefault="003D303F" w:rsidP="003D303F">
      <w:pPr>
        <w:contextualSpacing/>
        <w:rPr>
          <w:rFonts w:asciiTheme="minorHAnsi" w:hAnsiTheme="minorHAnsi" w:cstheme="minorHAnsi"/>
          <w:sz w:val="20"/>
        </w:rPr>
      </w:pPr>
      <w:r w:rsidRPr="003D303F">
        <w:rPr>
          <w:rFonts w:asciiTheme="minorHAnsi" w:hAnsiTheme="minorHAnsi" w:cstheme="minorHAnsi"/>
          <w:sz w:val="20"/>
        </w:rPr>
        <w:t>Toute personne, sans avoir à justifier de sa demande ou de sa qualité.</w:t>
      </w:r>
    </w:p>
    <w:p w14:paraId="569F0488" w14:textId="77777777" w:rsidR="003D303F" w:rsidRDefault="003D303F" w:rsidP="003D303F">
      <w:pPr>
        <w:contextualSpacing/>
        <w:rPr>
          <w:rFonts w:asciiTheme="minorHAnsi" w:hAnsiTheme="minorHAnsi" w:cstheme="minorHAnsi"/>
          <w:sz w:val="20"/>
        </w:rPr>
      </w:pPr>
    </w:p>
    <w:p w14:paraId="2D7DA85A" w14:textId="77777777" w:rsidR="003D303F" w:rsidRPr="00E600A5" w:rsidRDefault="00830CF7" w:rsidP="00E600A5">
      <w:pPr>
        <w:jc w:val="both"/>
        <w:rPr>
          <w:rFonts w:asciiTheme="minorHAnsi" w:hAnsiTheme="minorHAnsi"/>
          <w:b/>
          <w:sz w:val="20"/>
        </w:rPr>
      </w:pPr>
      <w:r w:rsidRPr="00830CF7">
        <w:rPr>
          <w:rFonts w:asciiTheme="minorHAnsi" w:hAnsiTheme="minorHAnsi"/>
          <w:b/>
          <w:sz w:val="50"/>
          <w:szCs w:val="50"/>
        </w:rPr>
        <w:sym w:font="Wingdings" w:char="F0FC"/>
      </w:r>
      <w:r>
        <w:rPr>
          <w:rFonts w:asciiTheme="minorHAnsi" w:hAnsiTheme="minorHAnsi"/>
          <w:b/>
          <w:sz w:val="20"/>
        </w:rPr>
        <w:t xml:space="preserve"> </w:t>
      </w:r>
      <w:r w:rsidR="003D303F" w:rsidRPr="00E600A5">
        <w:rPr>
          <w:rFonts w:asciiTheme="minorHAnsi" w:hAnsiTheme="minorHAnsi"/>
          <w:b/>
          <w:sz w:val="20"/>
        </w:rPr>
        <w:t>À NOTER</w:t>
      </w:r>
    </w:p>
    <w:p w14:paraId="48B06175" w14:textId="77777777" w:rsidR="003D303F" w:rsidRPr="00E600A5" w:rsidRDefault="003D303F" w:rsidP="00E600A5">
      <w:pPr>
        <w:jc w:val="both"/>
        <w:rPr>
          <w:rFonts w:asciiTheme="minorHAnsi" w:hAnsiTheme="minorHAnsi"/>
          <w:sz w:val="20"/>
        </w:rPr>
      </w:pPr>
    </w:p>
    <w:p w14:paraId="31979A66" w14:textId="77777777" w:rsidR="003D303F" w:rsidRPr="00E600A5" w:rsidRDefault="003D303F" w:rsidP="00E600A5">
      <w:pPr>
        <w:jc w:val="both"/>
        <w:rPr>
          <w:rFonts w:asciiTheme="minorHAnsi" w:hAnsiTheme="minorHAnsi"/>
          <w:sz w:val="20"/>
        </w:rPr>
      </w:pPr>
      <w:r w:rsidRPr="00E600A5">
        <w:rPr>
          <w:rFonts w:asciiTheme="minorHAnsi" w:hAnsiTheme="minorHAnsi"/>
          <w:sz w:val="20"/>
        </w:rPr>
        <w:t>La communicabilité des archives publiques permet à toute personne de demander la reproduction d'un acte :</w:t>
      </w:r>
    </w:p>
    <w:p w14:paraId="200B0D2E" w14:textId="77777777" w:rsidR="003D303F" w:rsidRPr="00E600A5" w:rsidRDefault="003D303F" w:rsidP="00E600A5">
      <w:pPr>
        <w:jc w:val="both"/>
        <w:rPr>
          <w:rFonts w:asciiTheme="minorHAnsi" w:hAnsiTheme="minorHAnsi"/>
          <w:sz w:val="20"/>
        </w:rPr>
      </w:pPr>
      <w:r w:rsidRPr="00E600A5">
        <w:rPr>
          <w:rFonts w:asciiTheme="minorHAnsi" w:hAnsiTheme="minorHAnsi"/>
          <w:sz w:val="20"/>
        </w:rPr>
        <w:t>-</w:t>
      </w:r>
      <w:r w:rsidRPr="00E600A5">
        <w:rPr>
          <w:rFonts w:asciiTheme="minorHAnsi" w:hAnsiTheme="minorHAnsi"/>
          <w:sz w:val="20"/>
        </w:rPr>
        <w:tab/>
        <w:t xml:space="preserve">de plus de 75 ans (depuis la date de clôture du registre) </w:t>
      </w:r>
    </w:p>
    <w:p w14:paraId="6305542F" w14:textId="77777777" w:rsidR="003D303F" w:rsidRPr="00E600A5" w:rsidRDefault="003D303F" w:rsidP="00E600A5">
      <w:pPr>
        <w:jc w:val="both"/>
        <w:rPr>
          <w:rFonts w:asciiTheme="minorHAnsi" w:hAnsiTheme="minorHAnsi"/>
          <w:sz w:val="20"/>
        </w:rPr>
      </w:pPr>
      <w:r w:rsidRPr="00E600A5">
        <w:rPr>
          <w:rFonts w:asciiTheme="minorHAnsi" w:hAnsiTheme="minorHAnsi"/>
          <w:sz w:val="20"/>
        </w:rPr>
        <w:t>-</w:t>
      </w:r>
      <w:r w:rsidRPr="00E600A5">
        <w:rPr>
          <w:rFonts w:asciiTheme="minorHAnsi" w:hAnsiTheme="minorHAnsi"/>
          <w:sz w:val="20"/>
        </w:rPr>
        <w:tab/>
        <w:t>25 ans après la date du décès de la personne concernée par l'acte.</w:t>
      </w:r>
    </w:p>
    <w:p w14:paraId="5E7B6AEF" w14:textId="77777777" w:rsidR="00E600A5" w:rsidRPr="00E600A5" w:rsidRDefault="00E600A5" w:rsidP="00E600A5">
      <w:pPr>
        <w:jc w:val="both"/>
        <w:rPr>
          <w:rFonts w:asciiTheme="minorHAnsi" w:hAnsiTheme="minorHAnsi"/>
          <w:sz w:val="20"/>
        </w:rPr>
      </w:pPr>
    </w:p>
    <w:p w14:paraId="3FC24730" w14:textId="77777777" w:rsidR="00E600A5" w:rsidRDefault="00E600A5" w:rsidP="00E600A5">
      <w:pPr>
        <w:jc w:val="both"/>
        <w:rPr>
          <w:rFonts w:asciiTheme="minorHAnsi" w:hAnsiTheme="minorHAnsi"/>
          <w:sz w:val="20"/>
        </w:rPr>
      </w:pPr>
      <w:r w:rsidRPr="00E600A5">
        <w:rPr>
          <w:rFonts w:asciiTheme="minorHAnsi" w:hAnsiTheme="minorHAnsi"/>
          <w:sz w:val="20"/>
        </w:rPr>
        <w:t xml:space="preserve">Les copies intégrales des actes de décès </w:t>
      </w:r>
      <w:r w:rsidR="004B7048">
        <w:rPr>
          <w:rFonts w:asciiTheme="minorHAnsi" w:hAnsiTheme="minorHAnsi"/>
          <w:sz w:val="20"/>
        </w:rPr>
        <w:t xml:space="preserve">(registre des actes de décès) </w:t>
      </w:r>
      <w:r w:rsidRPr="00E600A5">
        <w:rPr>
          <w:rFonts w:asciiTheme="minorHAnsi" w:hAnsiTheme="minorHAnsi"/>
          <w:sz w:val="20"/>
        </w:rPr>
        <w:t xml:space="preserve">et des actes d'enfant sans vie </w:t>
      </w:r>
      <w:r w:rsidR="004B7048">
        <w:rPr>
          <w:rFonts w:asciiTheme="minorHAnsi" w:hAnsiTheme="minorHAnsi"/>
          <w:sz w:val="20"/>
        </w:rPr>
        <w:t xml:space="preserve">(registre des actes de naissance) </w:t>
      </w:r>
      <w:r w:rsidRPr="00E600A5">
        <w:rPr>
          <w:rFonts w:asciiTheme="minorHAnsi" w:hAnsiTheme="minorHAnsi"/>
          <w:sz w:val="20"/>
        </w:rPr>
        <w:t>peuvent être délivrées à toute personne.</w:t>
      </w:r>
    </w:p>
    <w:p w14:paraId="1B31D9A7" w14:textId="77777777" w:rsidR="006C2BF6" w:rsidRDefault="006C2BF6" w:rsidP="00E600A5">
      <w:pPr>
        <w:jc w:val="both"/>
        <w:rPr>
          <w:rFonts w:asciiTheme="minorHAnsi" w:hAnsiTheme="minorHAnsi"/>
          <w:sz w:val="20"/>
        </w:rPr>
      </w:pPr>
    </w:p>
    <w:p w14:paraId="62778DA5" w14:textId="77777777" w:rsidR="006C2BF6" w:rsidRPr="006C2BF6" w:rsidRDefault="006C2BF6" w:rsidP="00E600A5">
      <w:pPr>
        <w:jc w:val="both"/>
        <w:rPr>
          <w:rFonts w:asciiTheme="minorHAnsi" w:hAnsiTheme="minorHAnsi"/>
          <w:sz w:val="20"/>
        </w:rPr>
      </w:pPr>
      <w:r w:rsidRPr="006C2BF6">
        <w:rPr>
          <w:rFonts w:asciiTheme="minorHAnsi" w:hAnsiTheme="minorHAnsi" w:cs="Arial"/>
          <w:color w:val="000000"/>
          <w:sz w:val="20"/>
          <w:shd w:val="clear" w:color="auto" w:fill="FFFFFF"/>
        </w:rPr>
        <w:t>Lorsqu'une mention a été apposée à tort en marge d'un acte de l'état civil, les copies intégrales et les extraits de l'acte n'y font référence que sur autorisation du procureur de la République.</w:t>
      </w:r>
    </w:p>
    <w:p w14:paraId="1F81D2B4" w14:textId="77777777" w:rsidR="00E600A5" w:rsidRPr="00E600A5" w:rsidRDefault="00E600A5" w:rsidP="00E600A5">
      <w:pPr>
        <w:jc w:val="both"/>
        <w:rPr>
          <w:rFonts w:asciiTheme="minorHAnsi" w:hAnsiTheme="minorHAnsi"/>
          <w:sz w:val="20"/>
        </w:rPr>
      </w:pPr>
    </w:p>
    <w:p w14:paraId="527CFC1C" w14:textId="77777777" w:rsidR="00E600A5" w:rsidRPr="00E600A5" w:rsidRDefault="00E600A5" w:rsidP="00E600A5">
      <w:pPr>
        <w:jc w:val="both"/>
        <w:rPr>
          <w:rFonts w:asciiTheme="minorHAnsi" w:hAnsiTheme="minorHAnsi"/>
          <w:sz w:val="20"/>
        </w:rPr>
      </w:pPr>
      <w:r w:rsidRPr="00E600A5">
        <w:rPr>
          <w:rFonts w:asciiTheme="minorHAnsi" w:hAnsiTheme="minorHAnsi"/>
          <w:b/>
          <w:sz w:val="20"/>
        </w:rPr>
        <w:t>Les généalogistes</w:t>
      </w:r>
      <w:r w:rsidRPr="00E600A5">
        <w:rPr>
          <w:rFonts w:asciiTheme="minorHAnsi" w:hAnsiTheme="minorHAnsi"/>
          <w:sz w:val="20"/>
        </w:rPr>
        <w:t xml:space="preserve"> ne peuvent obtenir la copie intégrale d'un acte de naissance, d'un acte de reconnaissance, d'un acte de mariage et d'un acte de décès qu'en vertu d'une </w:t>
      </w:r>
      <w:r w:rsidRPr="00E600A5">
        <w:rPr>
          <w:rFonts w:asciiTheme="minorHAnsi" w:hAnsiTheme="minorHAnsi"/>
          <w:b/>
          <w:sz w:val="20"/>
        </w:rPr>
        <w:t>autorisation du procureur de la République</w:t>
      </w:r>
      <w:r>
        <w:rPr>
          <w:rFonts w:asciiTheme="minorHAnsi" w:hAnsiTheme="minorHAnsi"/>
          <w:b/>
          <w:sz w:val="20"/>
        </w:rPr>
        <w:t xml:space="preserve"> (</w:t>
      </w:r>
      <w:r w:rsidRPr="00E600A5">
        <w:rPr>
          <w:rFonts w:asciiTheme="minorHAnsi" w:hAnsiTheme="minorHAnsi"/>
          <w:sz w:val="20"/>
        </w:rPr>
        <w:t>En cas de refus de celui-ci, ils peuvent saisir le président du tribunal de grande instance qui statue par ordonnance de référé</w:t>
      </w:r>
      <w:r>
        <w:rPr>
          <w:rFonts w:asciiTheme="minorHAnsi" w:hAnsiTheme="minorHAnsi"/>
          <w:sz w:val="20"/>
        </w:rPr>
        <w:t>)</w:t>
      </w:r>
      <w:r w:rsidRPr="00E600A5">
        <w:rPr>
          <w:rFonts w:asciiTheme="minorHAnsi" w:hAnsiTheme="minorHAnsi"/>
          <w:sz w:val="20"/>
        </w:rPr>
        <w:t>.</w:t>
      </w:r>
    </w:p>
    <w:p w14:paraId="1FE0AB45" w14:textId="77777777" w:rsidR="001E0152" w:rsidRPr="00E600A5" w:rsidRDefault="001E0152" w:rsidP="00E600A5">
      <w:pPr>
        <w:jc w:val="both"/>
        <w:rPr>
          <w:rFonts w:asciiTheme="minorHAnsi" w:hAnsiTheme="minorHAnsi"/>
          <w:sz w:val="20"/>
        </w:rPr>
      </w:pPr>
    </w:p>
    <w:p w14:paraId="09173B87" w14:textId="77777777" w:rsidR="001E0152" w:rsidRPr="00E600A5" w:rsidRDefault="00E03559" w:rsidP="00E600A5">
      <w:pPr>
        <w:jc w:val="both"/>
        <w:rPr>
          <w:rFonts w:asciiTheme="minorHAnsi" w:hAnsiTheme="minorHAnsi"/>
          <w:sz w:val="20"/>
        </w:rPr>
      </w:pPr>
      <w:r w:rsidRPr="00E600A5">
        <w:rPr>
          <w:rFonts w:asciiTheme="minorHAnsi" w:hAnsiTheme="minorHAnsi"/>
          <w:b/>
          <w:sz w:val="20"/>
        </w:rPr>
        <w:t>Les généalogistes</w:t>
      </w:r>
      <w:r w:rsidRPr="00E600A5">
        <w:rPr>
          <w:rFonts w:asciiTheme="minorHAnsi" w:hAnsiTheme="minorHAnsi"/>
          <w:sz w:val="20"/>
        </w:rPr>
        <w:t xml:space="preserve"> qui procèdent à des recherches en application de l'article 36 de la loi n° 2006-728 du 23 juin 2006 portant réforme des successions et des libéralités ou des dispositions de la loi n° 2014-617 du 13 juin 2014 relative aux comptes bancaires inactifs et aux contrats d'assurance vie en déshérence peuvent également obtenir une copie intégrale des actes de l'état civil, sous réserve qu'ils justifient de </w:t>
      </w:r>
      <w:r w:rsidRPr="00E600A5">
        <w:rPr>
          <w:rFonts w:asciiTheme="minorHAnsi" w:hAnsiTheme="minorHAnsi"/>
          <w:b/>
          <w:sz w:val="20"/>
        </w:rPr>
        <w:t xml:space="preserve">l'autorisation de consultation des actes de l'état civil délivrée par l'administration des archives </w:t>
      </w:r>
      <w:r w:rsidRPr="00E600A5">
        <w:rPr>
          <w:rFonts w:asciiTheme="minorHAnsi" w:hAnsiTheme="minorHAnsi"/>
          <w:sz w:val="20"/>
          <w:u w:val="single"/>
        </w:rPr>
        <w:t>et</w:t>
      </w:r>
      <w:r w:rsidRPr="00E600A5">
        <w:rPr>
          <w:rFonts w:asciiTheme="minorHAnsi" w:hAnsiTheme="minorHAnsi"/>
          <w:sz w:val="20"/>
        </w:rPr>
        <w:t xml:space="preserve"> qu'ils soient porteurs d'un </w:t>
      </w:r>
      <w:r w:rsidRPr="00E600A5">
        <w:rPr>
          <w:rFonts w:asciiTheme="minorHAnsi" w:hAnsiTheme="minorHAnsi"/>
          <w:b/>
          <w:sz w:val="20"/>
        </w:rPr>
        <w:t>mandat ou d'une demande émanant d'un notaire, d'un organisme d'assurance ou de toute autre personne ayant un intérêt direct et légitime</w:t>
      </w:r>
      <w:r w:rsidRPr="00E600A5">
        <w:rPr>
          <w:rFonts w:asciiTheme="minorHAnsi" w:hAnsiTheme="minorHAnsi"/>
          <w:sz w:val="20"/>
        </w:rPr>
        <w:t>.</w:t>
      </w:r>
    </w:p>
    <w:p w14:paraId="5B536C21" w14:textId="77777777" w:rsidR="001E0152" w:rsidRPr="00E600A5" w:rsidRDefault="001E0152" w:rsidP="00E600A5">
      <w:pPr>
        <w:jc w:val="both"/>
        <w:rPr>
          <w:rFonts w:asciiTheme="minorHAnsi" w:hAnsiTheme="minorHAnsi"/>
          <w:sz w:val="20"/>
        </w:rPr>
      </w:pPr>
    </w:p>
    <w:p w14:paraId="2A680FC5" w14:textId="77777777" w:rsidR="001E0152" w:rsidRDefault="00D016CE" w:rsidP="00E600A5">
      <w:pPr>
        <w:jc w:val="both"/>
        <w:rPr>
          <w:rFonts w:asciiTheme="minorHAnsi" w:hAnsiTheme="minorHAnsi"/>
          <w:sz w:val="20"/>
        </w:rPr>
      </w:pPr>
      <w:r>
        <w:rPr>
          <w:rFonts w:asciiTheme="minorHAnsi" w:hAnsiTheme="minorHAnsi"/>
          <w:sz w:val="20"/>
        </w:rPr>
        <w:t>Que faire lorsque le demandeur n’est pas en capacité de présenter une pièce d’identité lors de sa demande ?</w:t>
      </w:r>
    </w:p>
    <w:p w14:paraId="7531D3FA" w14:textId="77777777" w:rsidR="00E600A5" w:rsidRDefault="00D016CE" w:rsidP="00E600A5">
      <w:pPr>
        <w:jc w:val="both"/>
        <w:rPr>
          <w:rFonts w:asciiTheme="minorHAnsi" w:hAnsiTheme="minorHAnsi"/>
          <w:sz w:val="20"/>
        </w:rPr>
      </w:pPr>
      <w:r>
        <w:rPr>
          <w:rFonts w:asciiTheme="minorHAnsi" w:hAnsiTheme="minorHAnsi"/>
          <w:sz w:val="20"/>
        </w:rPr>
        <w:lastRenderedPageBreak/>
        <w:t>L’OEC étant sensé s’assurer, par tout moyen à sa disposition, qu’il délivre l’acte à l’intéressé</w:t>
      </w:r>
      <w:r w:rsidR="00C206DB">
        <w:rPr>
          <w:rFonts w:asciiTheme="minorHAnsi" w:hAnsiTheme="minorHAnsi"/>
          <w:sz w:val="20"/>
        </w:rPr>
        <w:t>,</w:t>
      </w:r>
      <w:r w:rsidR="00D868BC">
        <w:rPr>
          <w:rFonts w:asciiTheme="minorHAnsi" w:hAnsiTheme="minorHAnsi"/>
          <w:sz w:val="20"/>
        </w:rPr>
        <w:t xml:space="preserve"> ou une personne qui en a la légitimité,</w:t>
      </w:r>
      <w:r w:rsidR="00C206DB">
        <w:rPr>
          <w:rFonts w:asciiTheme="minorHAnsi" w:hAnsiTheme="minorHAnsi"/>
          <w:sz w:val="20"/>
        </w:rPr>
        <w:t xml:space="preserve"> il peut poser des questions. Ex : quels sont les prénoms de vos parents ? Quelles professions exerçaient-ils au moment de votre naissance ? Où vivaient vos parents lors de votre naissance ?</w:t>
      </w:r>
      <w:r w:rsidR="00D868BC">
        <w:rPr>
          <w:rFonts w:asciiTheme="minorHAnsi" w:hAnsiTheme="minorHAnsi"/>
          <w:sz w:val="20"/>
        </w:rPr>
        <w:t xml:space="preserve"> etc…</w:t>
      </w:r>
    </w:p>
    <w:p w14:paraId="139E0EBE" w14:textId="77777777" w:rsidR="00D868BC" w:rsidRDefault="00D868BC" w:rsidP="00E600A5">
      <w:pPr>
        <w:jc w:val="both"/>
        <w:rPr>
          <w:rFonts w:asciiTheme="minorHAnsi" w:hAnsiTheme="minorHAnsi"/>
          <w:sz w:val="20"/>
        </w:rPr>
      </w:pPr>
    </w:p>
    <w:p w14:paraId="31A8384F" w14:textId="77777777" w:rsidR="0063186E" w:rsidRDefault="00D868BC" w:rsidP="00E600A5">
      <w:pPr>
        <w:jc w:val="both"/>
        <w:rPr>
          <w:rFonts w:asciiTheme="minorHAnsi" w:hAnsiTheme="minorHAnsi"/>
          <w:sz w:val="20"/>
        </w:rPr>
      </w:pPr>
      <w:r w:rsidRPr="00D868BC">
        <w:rPr>
          <w:rFonts w:asciiTheme="minorHAnsi" w:hAnsiTheme="minorHAnsi"/>
          <w:sz w:val="20"/>
        </w:rPr>
        <w:t>La pratique consistant à envoyer l’acte à la mairie du domicile du requérant qui a effectué sa demande par courrier ou par internet ne repose sur aucun fondement juridique, comme le confirme une réponse du garde des Sceaux en date du 3 mars 2013 à une question orale au Sénat.</w:t>
      </w:r>
      <w:r w:rsidR="0063186E">
        <w:rPr>
          <w:rFonts w:asciiTheme="minorHAnsi" w:hAnsiTheme="minorHAnsi"/>
          <w:sz w:val="20"/>
        </w:rPr>
        <w:t xml:space="preserve"> </w:t>
      </w:r>
    </w:p>
    <w:p w14:paraId="1D850BC3" w14:textId="77777777" w:rsidR="00E600A5" w:rsidRPr="00E06D81" w:rsidRDefault="0063186E" w:rsidP="00E600A5">
      <w:pPr>
        <w:jc w:val="both"/>
        <w:rPr>
          <w:rFonts w:asciiTheme="minorHAnsi" w:hAnsiTheme="minorHAnsi"/>
          <w:sz w:val="20"/>
          <w:lang w:val="en-US"/>
        </w:rPr>
      </w:pPr>
      <w:r w:rsidRPr="00E06D81">
        <w:rPr>
          <w:rFonts w:asciiTheme="minorHAnsi" w:hAnsiTheme="minorHAnsi"/>
          <w:sz w:val="20"/>
          <w:lang w:val="en-US"/>
        </w:rPr>
        <w:t>(</w:t>
      </w:r>
      <w:proofErr w:type="spellStart"/>
      <w:r w:rsidRPr="00E06D81">
        <w:rPr>
          <w:rFonts w:asciiTheme="minorHAnsi" w:hAnsiTheme="minorHAnsi"/>
          <w:sz w:val="20"/>
          <w:lang w:val="en-US"/>
        </w:rPr>
        <w:t>cf</w:t>
      </w:r>
      <w:proofErr w:type="spellEnd"/>
      <w:r w:rsidRPr="00E06D81">
        <w:rPr>
          <w:rFonts w:asciiTheme="minorHAnsi" w:hAnsiTheme="minorHAnsi"/>
          <w:sz w:val="20"/>
          <w:lang w:val="en-US"/>
        </w:rPr>
        <w:t xml:space="preserve"> </w:t>
      </w:r>
      <w:proofErr w:type="spellStart"/>
      <w:proofErr w:type="gramStart"/>
      <w:r w:rsidRPr="00E06D81">
        <w:rPr>
          <w:rFonts w:asciiTheme="minorHAnsi" w:hAnsiTheme="minorHAnsi"/>
          <w:sz w:val="20"/>
          <w:lang w:val="en-US"/>
        </w:rPr>
        <w:t>legibase</w:t>
      </w:r>
      <w:proofErr w:type="spellEnd"/>
      <w:r w:rsidRPr="00E06D81">
        <w:rPr>
          <w:rFonts w:asciiTheme="minorHAnsi" w:hAnsiTheme="minorHAnsi"/>
          <w:sz w:val="20"/>
          <w:lang w:val="en-US"/>
        </w:rPr>
        <w:t> :</w:t>
      </w:r>
      <w:proofErr w:type="gramEnd"/>
      <w:r w:rsidRPr="00E06D81">
        <w:rPr>
          <w:lang w:val="en-US"/>
        </w:rPr>
        <w:t xml:space="preserve"> </w:t>
      </w:r>
      <w:r w:rsidR="00ED45AF" w:rsidRPr="00E06D81">
        <w:rPr>
          <w:rFonts w:asciiTheme="minorHAnsi" w:hAnsiTheme="minorHAnsi"/>
          <w:sz w:val="20"/>
          <w:lang w:val="en-US"/>
        </w:rPr>
        <w:t>http://etat-civil.legibase.fr/base-de-connaissances/demarches-et-formalites-administratives/dans-le-cadre-dune-demande-dacte-de).</w:t>
      </w:r>
    </w:p>
    <w:p w14:paraId="1421023F" w14:textId="77777777" w:rsidR="00ED45AF" w:rsidRPr="00E06D81" w:rsidRDefault="00ED45AF" w:rsidP="00E600A5">
      <w:pPr>
        <w:jc w:val="both"/>
        <w:rPr>
          <w:rFonts w:asciiTheme="minorHAnsi" w:hAnsiTheme="minorHAnsi"/>
          <w:sz w:val="20"/>
          <w:lang w:val="en-US"/>
        </w:rPr>
      </w:pPr>
    </w:p>
    <w:p w14:paraId="515FEC86" w14:textId="77777777" w:rsidR="00ED45AF" w:rsidRDefault="00ED45AF" w:rsidP="00E600A5">
      <w:pPr>
        <w:jc w:val="both"/>
        <w:rPr>
          <w:rFonts w:asciiTheme="minorHAnsi" w:hAnsiTheme="minorHAnsi"/>
          <w:sz w:val="20"/>
        </w:rPr>
      </w:pPr>
      <w:r>
        <w:rPr>
          <w:rFonts w:asciiTheme="minorHAnsi" w:hAnsiTheme="minorHAnsi"/>
          <w:sz w:val="20"/>
        </w:rPr>
        <w:t>Il convient de conserver les demandes des usagers (reçues par courrier, par fax ou par mail) pendant 3 mois</w:t>
      </w:r>
      <w:r w:rsidR="00E06D81">
        <w:rPr>
          <w:rFonts w:asciiTheme="minorHAnsi" w:hAnsiTheme="minorHAnsi"/>
          <w:sz w:val="20"/>
        </w:rPr>
        <w:t>, au moins, idéalement une année</w:t>
      </w:r>
      <w:r>
        <w:rPr>
          <w:rFonts w:asciiTheme="minorHAnsi" w:hAnsiTheme="minorHAnsi"/>
          <w:sz w:val="20"/>
        </w:rPr>
        <w:t> :</w:t>
      </w:r>
    </w:p>
    <w:p w14:paraId="6801AF03" w14:textId="77777777" w:rsidR="00ED45AF" w:rsidRDefault="00ED45AF" w:rsidP="00ED45AF">
      <w:pPr>
        <w:pStyle w:val="Paragraphedeliste"/>
        <w:numPr>
          <w:ilvl w:val="0"/>
          <w:numId w:val="2"/>
        </w:numPr>
        <w:jc w:val="both"/>
        <w:rPr>
          <w:rFonts w:asciiTheme="minorHAnsi" w:hAnsiTheme="minorHAnsi"/>
          <w:sz w:val="20"/>
        </w:rPr>
      </w:pPr>
      <w:r w:rsidRPr="00ED45AF">
        <w:rPr>
          <w:rFonts w:asciiTheme="minorHAnsi" w:hAnsiTheme="minorHAnsi"/>
          <w:sz w:val="20"/>
        </w:rPr>
        <w:t>Pour des raisons pratiques</w:t>
      </w:r>
      <w:r>
        <w:rPr>
          <w:rFonts w:asciiTheme="minorHAnsi" w:hAnsiTheme="minorHAnsi"/>
          <w:sz w:val="20"/>
        </w:rPr>
        <w:t> : pouvoir répondre aux usagers (avons-nous reçue la demande ? Quand avons-nous reçue et traitée la demande ?) ;</w:t>
      </w:r>
    </w:p>
    <w:p w14:paraId="23A3FA3B" w14:textId="77777777" w:rsidR="00ED45AF" w:rsidRPr="00ED45AF" w:rsidRDefault="00ED45AF" w:rsidP="00ED45AF">
      <w:pPr>
        <w:pStyle w:val="Paragraphedeliste"/>
        <w:numPr>
          <w:ilvl w:val="0"/>
          <w:numId w:val="2"/>
        </w:numPr>
        <w:jc w:val="both"/>
        <w:rPr>
          <w:rFonts w:asciiTheme="minorHAnsi" w:hAnsiTheme="minorHAnsi"/>
          <w:sz w:val="20"/>
        </w:rPr>
      </w:pPr>
      <w:r>
        <w:rPr>
          <w:rFonts w:asciiTheme="minorHAnsi" w:hAnsiTheme="minorHAnsi"/>
          <w:sz w:val="20"/>
        </w:rPr>
        <w:t xml:space="preserve">Pour des raisons </w:t>
      </w:r>
      <w:r w:rsidR="00103E0D">
        <w:rPr>
          <w:rFonts w:asciiTheme="minorHAnsi" w:hAnsiTheme="minorHAnsi"/>
          <w:sz w:val="20"/>
        </w:rPr>
        <w:t>sécuritaires : en cas de contrôle du Procureur, nous sommes tenus d’apporter la preuve de la bonne gestion des demandes par le service état-civil.</w:t>
      </w:r>
    </w:p>
    <w:p w14:paraId="64C371BD" w14:textId="77777777" w:rsidR="00E600A5" w:rsidRDefault="00E600A5" w:rsidP="00E600A5">
      <w:pPr>
        <w:jc w:val="both"/>
        <w:rPr>
          <w:rFonts w:asciiTheme="minorHAnsi" w:hAnsiTheme="minorHAnsi"/>
          <w:sz w:val="20"/>
        </w:rPr>
      </w:pPr>
    </w:p>
    <w:p w14:paraId="38EF445D" w14:textId="77777777" w:rsidR="00665CA5" w:rsidRPr="00665CA5" w:rsidRDefault="00665CA5" w:rsidP="00E600A5">
      <w:pPr>
        <w:jc w:val="both"/>
        <w:rPr>
          <w:rFonts w:asciiTheme="minorHAnsi" w:hAnsiTheme="minorHAnsi"/>
          <w:color w:val="FF0000"/>
          <w:sz w:val="20"/>
        </w:rPr>
      </w:pPr>
      <w:r w:rsidRPr="00665CA5">
        <w:rPr>
          <w:rFonts w:asciiTheme="minorHAnsi" w:hAnsiTheme="minorHAnsi"/>
          <w:color w:val="FF0000"/>
          <w:sz w:val="20"/>
        </w:rPr>
        <w:t>Vigilance sur les mentions d’adoption et les transcriptions de jugement d’adoption plénière (procédure à compléter).</w:t>
      </w:r>
    </w:p>
    <w:sectPr w:rsidR="00665CA5" w:rsidRPr="00665CA5" w:rsidSect="006D03D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065C4" w14:textId="77777777" w:rsidR="004129F5" w:rsidRDefault="004129F5" w:rsidP="00CF2E76">
      <w:r>
        <w:separator/>
      </w:r>
    </w:p>
  </w:endnote>
  <w:endnote w:type="continuationSeparator" w:id="0">
    <w:p w14:paraId="2D18AE9B" w14:textId="77777777" w:rsidR="004129F5" w:rsidRDefault="004129F5" w:rsidP="00C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C688A" w14:textId="77777777" w:rsidR="006D03D7" w:rsidRDefault="006D03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11B6" w14:textId="6BDAF0D1" w:rsidR="00AB420F" w:rsidRPr="006D03D7" w:rsidRDefault="00AB420F" w:rsidP="006D03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02E1F" w14:textId="77777777" w:rsidR="006D03D7" w:rsidRDefault="006D0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62665" w14:textId="77777777" w:rsidR="004129F5" w:rsidRDefault="004129F5" w:rsidP="00CF2E76">
      <w:r>
        <w:separator/>
      </w:r>
    </w:p>
  </w:footnote>
  <w:footnote w:type="continuationSeparator" w:id="0">
    <w:p w14:paraId="0F395D28" w14:textId="77777777" w:rsidR="004129F5" w:rsidRDefault="004129F5" w:rsidP="00CF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F74C1" w14:textId="77777777" w:rsidR="006D03D7" w:rsidRDefault="006D03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35FC" w14:textId="77777777" w:rsidR="006D03D7" w:rsidRDefault="006D03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8C15D" w14:textId="77777777" w:rsidR="006D03D7" w:rsidRDefault="006D03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15EB"/>
    <w:multiLevelType w:val="hybridMultilevel"/>
    <w:tmpl w:val="8BA6E140"/>
    <w:lvl w:ilvl="0" w:tplc="BDDACF92">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486752"/>
    <w:multiLevelType w:val="hybridMultilevel"/>
    <w:tmpl w:val="5CE67CFA"/>
    <w:lvl w:ilvl="0" w:tplc="7FC41E3C">
      <w:start w:val="1"/>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4A"/>
    <w:rsid w:val="00025543"/>
    <w:rsid w:val="00045C58"/>
    <w:rsid w:val="00091755"/>
    <w:rsid w:val="000A1270"/>
    <w:rsid w:val="000C1C4D"/>
    <w:rsid w:val="000E316F"/>
    <w:rsid w:val="000F3EE3"/>
    <w:rsid w:val="001024DA"/>
    <w:rsid w:val="00103E0D"/>
    <w:rsid w:val="001061DE"/>
    <w:rsid w:val="00120219"/>
    <w:rsid w:val="00143A95"/>
    <w:rsid w:val="00176D53"/>
    <w:rsid w:val="00191150"/>
    <w:rsid w:val="00192751"/>
    <w:rsid w:val="00197A8F"/>
    <w:rsid w:val="001A7973"/>
    <w:rsid w:val="001B25BE"/>
    <w:rsid w:val="001B46D9"/>
    <w:rsid w:val="001B78B8"/>
    <w:rsid w:val="001C1348"/>
    <w:rsid w:val="001C25FF"/>
    <w:rsid w:val="001D12B8"/>
    <w:rsid w:val="001E0152"/>
    <w:rsid w:val="00215DCF"/>
    <w:rsid w:val="002206D2"/>
    <w:rsid w:val="00232D0E"/>
    <w:rsid w:val="00255118"/>
    <w:rsid w:val="0025668F"/>
    <w:rsid w:val="002A6C58"/>
    <w:rsid w:val="002C2FC5"/>
    <w:rsid w:val="002C31C1"/>
    <w:rsid w:val="002C4A55"/>
    <w:rsid w:val="002E5324"/>
    <w:rsid w:val="00325F28"/>
    <w:rsid w:val="00367626"/>
    <w:rsid w:val="00393CB2"/>
    <w:rsid w:val="003D303F"/>
    <w:rsid w:val="003E329F"/>
    <w:rsid w:val="003F4227"/>
    <w:rsid w:val="004129F5"/>
    <w:rsid w:val="0042417C"/>
    <w:rsid w:val="004318EA"/>
    <w:rsid w:val="00432F5B"/>
    <w:rsid w:val="00433086"/>
    <w:rsid w:val="00463139"/>
    <w:rsid w:val="004675B2"/>
    <w:rsid w:val="00467656"/>
    <w:rsid w:val="00470F1C"/>
    <w:rsid w:val="00480A58"/>
    <w:rsid w:val="00490AEF"/>
    <w:rsid w:val="004B0446"/>
    <w:rsid w:val="004B4044"/>
    <w:rsid w:val="004B7048"/>
    <w:rsid w:val="004E04F0"/>
    <w:rsid w:val="004E7C7A"/>
    <w:rsid w:val="004F6874"/>
    <w:rsid w:val="0050154E"/>
    <w:rsid w:val="00502D68"/>
    <w:rsid w:val="00523479"/>
    <w:rsid w:val="00524DD7"/>
    <w:rsid w:val="00532013"/>
    <w:rsid w:val="00532846"/>
    <w:rsid w:val="0055501C"/>
    <w:rsid w:val="005567FA"/>
    <w:rsid w:val="005661ED"/>
    <w:rsid w:val="005755A0"/>
    <w:rsid w:val="00581E28"/>
    <w:rsid w:val="005923CA"/>
    <w:rsid w:val="0063186E"/>
    <w:rsid w:val="00665CA5"/>
    <w:rsid w:val="00667F4D"/>
    <w:rsid w:val="006731C8"/>
    <w:rsid w:val="0067636D"/>
    <w:rsid w:val="00682E02"/>
    <w:rsid w:val="006866E4"/>
    <w:rsid w:val="006941CC"/>
    <w:rsid w:val="006A60C3"/>
    <w:rsid w:val="006C2BF6"/>
    <w:rsid w:val="006D03D7"/>
    <w:rsid w:val="006D3B63"/>
    <w:rsid w:val="006E12BD"/>
    <w:rsid w:val="006F53FE"/>
    <w:rsid w:val="00714F76"/>
    <w:rsid w:val="00735D3B"/>
    <w:rsid w:val="00744BA7"/>
    <w:rsid w:val="007762E8"/>
    <w:rsid w:val="00784806"/>
    <w:rsid w:val="0079664A"/>
    <w:rsid w:val="007A4A38"/>
    <w:rsid w:val="007D66D2"/>
    <w:rsid w:val="00816D9E"/>
    <w:rsid w:val="00821C32"/>
    <w:rsid w:val="00830CF7"/>
    <w:rsid w:val="00861139"/>
    <w:rsid w:val="00864361"/>
    <w:rsid w:val="008845E4"/>
    <w:rsid w:val="00896EB3"/>
    <w:rsid w:val="008A17C4"/>
    <w:rsid w:val="008B279B"/>
    <w:rsid w:val="008C1F8C"/>
    <w:rsid w:val="008C5523"/>
    <w:rsid w:val="008D17D7"/>
    <w:rsid w:val="008D5787"/>
    <w:rsid w:val="008F31B1"/>
    <w:rsid w:val="00903DDA"/>
    <w:rsid w:val="00904DE9"/>
    <w:rsid w:val="0091094C"/>
    <w:rsid w:val="00910A51"/>
    <w:rsid w:val="009117EA"/>
    <w:rsid w:val="00916E8E"/>
    <w:rsid w:val="00925ADA"/>
    <w:rsid w:val="009338BC"/>
    <w:rsid w:val="009351A2"/>
    <w:rsid w:val="00954F62"/>
    <w:rsid w:val="00965DA9"/>
    <w:rsid w:val="009B2855"/>
    <w:rsid w:val="009B5600"/>
    <w:rsid w:val="009F6E62"/>
    <w:rsid w:val="00A150A9"/>
    <w:rsid w:val="00A2159A"/>
    <w:rsid w:val="00A25D8E"/>
    <w:rsid w:val="00A26407"/>
    <w:rsid w:val="00A45315"/>
    <w:rsid w:val="00A601DD"/>
    <w:rsid w:val="00A650AC"/>
    <w:rsid w:val="00A67B42"/>
    <w:rsid w:val="00A83CF6"/>
    <w:rsid w:val="00A9710C"/>
    <w:rsid w:val="00AB01C4"/>
    <w:rsid w:val="00AB420F"/>
    <w:rsid w:val="00AC2CC6"/>
    <w:rsid w:val="00AF0792"/>
    <w:rsid w:val="00AF282A"/>
    <w:rsid w:val="00B30611"/>
    <w:rsid w:val="00B32304"/>
    <w:rsid w:val="00B40CAD"/>
    <w:rsid w:val="00B505B7"/>
    <w:rsid w:val="00B50CC8"/>
    <w:rsid w:val="00B51BB8"/>
    <w:rsid w:val="00B7299C"/>
    <w:rsid w:val="00B74CB5"/>
    <w:rsid w:val="00B74F9E"/>
    <w:rsid w:val="00B8173D"/>
    <w:rsid w:val="00BA73A8"/>
    <w:rsid w:val="00C206DB"/>
    <w:rsid w:val="00C25515"/>
    <w:rsid w:val="00C2562B"/>
    <w:rsid w:val="00C46924"/>
    <w:rsid w:val="00C629E0"/>
    <w:rsid w:val="00C971BA"/>
    <w:rsid w:val="00CE69F7"/>
    <w:rsid w:val="00CF2E76"/>
    <w:rsid w:val="00D016CE"/>
    <w:rsid w:val="00D049C1"/>
    <w:rsid w:val="00D51D52"/>
    <w:rsid w:val="00D6257E"/>
    <w:rsid w:val="00D654BC"/>
    <w:rsid w:val="00D77365"/>
    <w:rsid w:val="00D8365B"/>
    <w:rsid w:val="00D850F2"/>
    <w:rsid w:val="00D868BC"/>
    <w:rsid w:val="00D9249E"/>
    <w:rsid w:val="00DC159B"/>
    <w:rsid w:val="00DC524F"/>
    <w:rsid w:val="00DD28E8"/>
    <w:rsid w:val="00DD31C5"/>
    <w:rsid w:val="00DE0E42"/>
    <w:rsid w:val="00E0163C"/>
    <w:rsid w:val="00E03559"/>
    <w:rsid w:val="00E06D81"/>
    <w:rsid w:val="00E36F27"/>
    <w:rsid w:val="00E4456E"/>
    <w:rsid w:val="00E600A5"/>
    <w:rsid w:val="00E66EB0"/>
    <w:rsid w:val="00EA0FA5"/>
    <w:rsid w:val="00EC2824"/>
    <w:rsid w:val="00ED45AF"/>
    <w:rsid w:val="00EE014A"/>
    <w:rsid w:val="00EE045A"/>
    <w:rsid w:val="00EF75C4"/>
    <w:rsid w:val="00F0021B"/>
    <w:rsid w:val="00F03822"/>
    <w:rsid w:val="00F049F1"/>
    <w:rsid w:val="00F35AA3"/>
    <w:rsid w:val="00F45D4D"/>
    <w:rsid w:val="00F46732"/>
    <w:rsid w:val="00F65472"/>
    <w:rsid w:val="00F65867"/>
    <w:rsid w:val="00F721E2"/>
    <w:rsid w:val="00F96B30"/>
    <w:rsid w:val="00F9738B"/>
    <w:rsid w:val="00FB2E11"/>
    <w:rsid w:val="00FC41E3"/>
    <w:rsid w:val="00FD01F1"/>
    <w:rsid w:val="00FD2838"/>
    <w:rsid w:val="00FD6D17"/>
    <w:rsid w:val="00FF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A0D1"/>
  <w15:docId w15:val="{3DB00A5E-6C0E-4EB1-8825-C1E96B84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4A"/>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rsid w:val="006941CC"/>
  </w:style>
  <w:style w:type="paragraph" w:styleId="Sansinterligne">
    <w:name w:val="No Spacing"/>
    <w:qFormat/>
    <w:rsid w:val="000C1C4D"/>
    <w:rPr>
      <w:sz w:val="22"/>
      <w:szCs w:val="22"/>
      <w:lang w:eastAsia="en-US"/>
    </w:rPr>
  </w:style>
  <w:style w:type="character" w:customStyle="1" w:styleId="apple-converted-space">
    <w:name w:val="apple-converted-space"/>
    <w:rsid w:val="00861139"/>
  </w:style>
  <w:style w:type="paragraph" w:styleId="Textedebulles">
    <w:name w:val="Balloon Text"/>
    <w:basedOn w:val="Normal"/>
    <w:link w:val="TextedebullesCar"/>
    <w:uiPriority w:val="99"/>
    <w:semiHidden/>
    <w:unhideWhenUsed/>
    <w:rsid w:val="0067636D"/>
    <w:rPr>
      <w:rFonts w:ascii="Tahoma" w:eastAsia="Calibri" w:hAnsi="Tahoma" w:cs="Tahoma"/>
      <w:sz w:val="16"/>
      <w:szCs w:val="16"/>
      <w:lang w:eastAsia="en-US"/>
    </w:rPr>
  </w:style>
  <w:style w:type="character" w:customStyle="1" w:styleId="TextedebullesCar">
    <w:name w:val="Texte de bulles Car"/>
    <w:link w:val="Textedebulles"/>
    <w:uiPriority w:val="99"/>
    <w:semiHidden/>
    <w:rsid w:val="0067636D"/>
    <w:rPr>
      <w:rFonts w:ascii="Tahoma" w:hAnsi="Tahoma" w:cs="Tahoma"/>
      <w:sz w:val="16"/>
      <w:szCs w:val="16"/>
      <w:lang w:eastAsia="en-US"/>
    </w:rPr>
  </w:style>
  <w:style w:type="paragraph" w:styleId="En-tte">
    <w:name w:val="header"/>
    <w:basedOn w:val="Normal"/>
    <w:link w:val="En-tt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En-tteCar">
    <w:name w:val="En-tête Car"/>
    <w:link w:val="En-tte"/>
    <w:uiPriority w:val="99"/>
    <w:rsid w:val="00CF2E76"/>
    <w:rPr>
      <w:sz w:val="22"/>
      <w:szCs w:val="22"/>
      <w:lang w:eastAsia="en-US"/>
    </w:rPr>
  </w:style>
  <w:style w:type="paragraph" w:styleId="Pieddepage">
    <w:name w:val="footer"/>
    <w:basedOn w:val="Normal"/>
    <w:link w:val="Pieddepag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PieddepageCar">
    <w:name w:val="Pied de page Car"/>
    <w:link w:val="Pieddepage"/>
    <w:uiPriority w:val="99"/>
    <w:rsid w:val="00CF2E76"/>
    <w:rPr>
      <w:sz w:val="22"/>
      <w:szCs w:val="22"/>
      <w:lang w:eastAsia="en-US"/>
    </w:rPr>
  </w:style>
  <w:style w:type="character" w:styleId="DfinitionHTML">
    <w:name w:val="HTML Definition"/>
    <w:semiHidden/>
    <w:unhideWhenUsed/>
    <w:rsid w:val="00EE014A"/>
    <w:rPr>
      <w:i/>
      <w:iCs/>
    </w:rPr>
  </w:style>
  <w:style w:type="character" w:styleId="lev">
    <w:name w:val="Strong"/>
    <w:uiPriority w:val="22"/>
    <w:qFormat/>
    <w:rsid w:val="00EE014A"/>
    <w:rPr>
      <w:b/>
      <w:bCs/>
    </w:rPr>
  </w:style>
  <w:style w:type="paragraph" w:styleId="Paragraphedeliste">
    <w:name w:val="List Paragraph"/>
    <w:basedOn w:val="Normal"/>
    <w:uiPriority w:val="34"/>
    <w:qFormat/>
    <w:rsid w:val="00714F76"/>
    <w:pPr>
      <w:ind w:left="720"/>
      <w:contextualSpacing/>
    </w:pPr>
  </w:style>
  <w:style w:type="character" w:styleId="Lienhypertexte">
    <w:name w:val="Hyperlink"/>
    <w:basedOn w:val="Policepardfaut"/>
    <w:uiPriority w:val="99"/>
    <w:unhideWhenUsed/>
    <w:rsid w:val="00830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9610">
      <w:bodyDiv w:val="1"/>
      <w:marLeft w:val="0"/>
      <w:marRight w:val="0"/>
      <w:marTop w:val="0"/>
      <w:marBottom w:val="0"/>
      <w:divBdr>
        <w:top w:val="none" w:sz="0" w:space="0" w:color="auto"/>
        <w:left w:val="none" w:sz="0" w:space="0" w:color="auto"/>
        <w:bottom w:val="none" w:sz="0" w:space="0" w:color="auto"/>
        <w:right w:val="none" w:sz="0" w:space="0" w:color="auto"/>
      </w:divBdr>
      <w:divsChild>
        <w:div w:id="1066955643">
          <w:marLeft w:val="0"/>
          <w:marRight w:val="0"/>
          <w:marTop w:val="75"/>
          <w:marBottom w:val="75"/>
          <w:divBdr>
            <w:top w:val="none" w:sz="0" w:space="0" w:color="auto"/>
            <w:left w:val="none" w:sz="0" w:space="0" w:color="auto"/>
            <w:bottom w:val="none" w:sz="0" w:space="0" w:color="auto"/>
            <w:right w:val="none" w:sz="0" w:space="0" w:color="auto"/>
          </w:divBdr>
        </w:div>
      </w:divsChild>
    </w:div>
    <w:div w:id="1694262807">
      <w:bodyDiv w:val="1"/>
      <w:marLeft w:val="0"/>
      <w:marRight w:val="0"/>
      <w:marTop w:val="0"/>
      <w:marBottom w:val="0"/>
      <w:divBdr>
        <w:top w:val="none" w:sz="0" w:space="0" w:color="auto"/>
        <w:left w:val="none" w:sz="0" w:space="0" w:color="auto"/>
        <w:bottom w:val="none" w:sz="0" w:space="0" w:color="auto"/>
        <w:right w:val="none" w:sz="0" w:space="0" w:color="auto"/>
      </w:divBdr>
    </w:div>
    <w:div w:id="18304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100A-F519-46F8-9D7E-9A11ACEA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3740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Perochain</dc:creator>
  <cp:lastModifiedBy>Carole Perochain</cp:lastModifiedBy>
  <cp:revision>2</cp:revision>
  <cp:lastPrinted>2018-02-01T09:12:00Z</cp:lastPrinted>
  <dcterms:created xsi:type="dcterms:W3CDTF">2021-03-26T09:02:00Z</dcterms:created>
  <dcterms:modified xsi:type="dcterms:W3CDTF">2021-03-26T09:02:00Z</dcterms:modified>
</cp:coreProperties>
</file>