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6E0" w:rsidRPr="003656E0" w:rsidRDefault="003656E0" w:rsidP="00A924E7">
      <w:pPr>
        <w:shd w:val="clear" w:color="auto" w:fill="FFFFFF"/>
        <w:spacing w:before="225" w:after="72" w:line="240" w:lineRule="auto"/>
        <w:ind w:left="-851" w:right="-709"/>
        <w:outlineLvl w:val="1"/>
        <w:rPr>
          <w:rFonts w:ascii="Verdana" w:eastAsia="Times New Roman" w:hAnsi="Verdana" w:cs="Times New Roman"/>
          <w:b/>
          <w:bCs/>
          <w:color w:val="70A50F"/>
          <w:lang w:eastAsia="fr-FR"/>
        </w:rPr>
      </w:pPr>
      <w:r w:rsidRPr="003656E0">
        <w:rPr>
          <w:rFonts w:ascii="Verdana" w:eastAsia="Times New Roman" w:hAnsi="Verdana" w:cs="Times New Roman"/>
          <w:b/>
          <w:bCs/>
          <w:color w:val="70A50F"/>
          <w:lang w:eastAsia="fr-FR"/>
        </w:rPr>
        <w:t>Instruction CU</w:t>
      </w:r>
    </w:p>
    <w:p w:rsidR="0014763E" w:rsidRDefault="003656E0" w:rsidP="00A924E7">
      <w:pPr>
        <w:shd w:val="clear" w:color="auto" w:fill="FFFFFF"/>
        <w:spacing w:after="120"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Description :</w:t>
      </w:r>
      <w:r w:rsidRPr="00A924E7">
        <w:rPr>
          <w:rFonts w:ascii="Verdana" w:eastAsia="Times New Roman" w:hAnsi="Verdana" w:cs="Times New Roman"/>
          <w:color w:val="484848"/>
          <w:lang w:eastAsia="fr-FR"/>
        </w:rPr>
        <w:t> </w:t>
      </w:r>
      <w:r w:rsidRPr="003656E0">
        <w:rPr>
          <w:rFonts w:ascii="Verdana" w:eastAsia="Times New Roman" w:hAnsi="Verdana" w:cs="Times New Roman"/>
          <w:color w:val="484848"/>
          <w:lang w:eastAsia="fr-FR"/>
        </w:rPr>
        <w:t>Que faire lorsqu’une même demande de CU b porte sur deux parcelles distinctes séparées par une voie ?</w:t>
      </w:r>
      <w:r w:rsidRPr="00A924E7">
        <w:rPr>
          <w:rFonts w:ascii="Verdana" w:eastAsia="Times New Roman" w:hAnsi="Verdana" w:cs="Times New Roman"/>
          <w:color w:val="484848"/>
          <w:lang w:eastAsia="fr-FR"/>
        </w:rPr>
        <w:t> </w:t>
      </w:r>
    </w:p>
    <w:p w:rsidR="0014763E" w:rsidRDefault="003656E0" w:rsidP="00A924E7">
      <w:pPr>
        <w:shd w:val="clear" w:color="auto" w:fill="FFFFFF"/>
        <w:spacing w:after="120"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Comment traiter cette demande puisque l’on ne peut faire ni d’incomplet ni d’irrecevable ?</w:t>
      </w:r>
      <w:r w:rsidRPr="00A924E7">
        <w:rPr>
          <w:rFonts w:ascii="Verdana" w:eastAsia="Times New Roman" w:hAnsi="Verdana" w:cs="Times New Roman"/>
          <w:color w:val="484848"/>
          <w:lang w:eastAsia="fr-FR"/>
        </w:rPr>
        <w:t> </w:t>
      </w:r>
    </w:p>
    <w:p w:rsidR="003656E0" w:rsidRPr="003656E0" w:rsidRDefault="003656E0" w:rsidP="00A924E7">
      <w:pPr>
        <w:shd w:val="clear" w:color="auto" w:fill="FFFFFF"/>
        <w:spacing w:after="120"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Laisser le Cu tacite avec les effets que l’on connait.</w:t>
      </w:r>
      <w:r w:rsidRPr="00A924E7">
        <w:rPr>
          <w:rFonts w:ascii="Verdana" w:eastAsia="Times New Roman" w:hAnsi="Verdana" w:cs="Times New Roman"/>
          <w:color w:val="484848"/>
          <w:lang w:eastAsia="fr-FR"/>
        </w:rPr>
        <w:t> </w:t>
      </w:r>
      <w:r w:rsidR="0014763E">
        <w:rPr>
          <w:rFonts w:ascii="Verdana" w:eastAsia="Times New Roman" w:hAnsi="Verdana" w:cs="Times New Roman"/>
          <w:color w:val="484848"/>
          <w:lang w:eastAsia="fr-FR"/>
        </w:rPr>
        <w:t xml:space="preserve"> </w:t>
      </w:r>
      <w:r w:rsidRPr="003656E0">
        <w:rPr>
          <w:rFonts w:ascii="Verdana" w:eastAsia="Times New Roman" w:hAnsi="Verdana" w:cs="Times New Roman"/>
          <w:color w:val="484848"/>
          <w:lang w:eastAsia="fr-FR"/>
        </w:rPr>
        <w:t xml:space="preserve">Mais la réponse que doit faire l’administration devra </w:t>
      </w:r>
      <w:proofErr w:type="spellStart"/>
      <w:r w:rsidRPr="003656E0">
        <w:rPr>
          <w:rFonts w:ascii="Verdana" w:eastAsia="Times New Roman" w:hAnsi="Verdana" w:cs="Times New Roman"/>
          <w:color w:val="484848"/>
          <w:lang w:eastAsia="fr-FR"/>
        </w:rPr>
        <w:t>t-elle</w:t>
      </w:r>
      <w:proofErr w:type="spellEnd"/>
      <w:r w:rsidRPr="003656E0">
        <w:rPr>
          <w:rFonts w:ascii="Verdana" w:eastAsia="Times New Roman" w:hAnsi="Verdana" w:cs="Times New Roman"/>
          <w:color w:val="484848"/>
          <w:lang w:eastAsia="fr-FR"/>
        </w:rPr>
        <w:t xml:space="preserve"> porter sur les deux parcelles ? </w:t>
      </w:r>
      <w:proofErr w:type="gramStart"/>
      <w:r w:rsidRPr="003656E0">
        <w:rPr>
          <w:rFonts w:ascii="Verdana" w:eastAsia="Times New Roman" w:hAnsi="Verdana" w:cs="Times New Roman"/>
          <w:color w:val="484848"/>
          <w:lang w:eastAsia="fr-FR"/>
        </w:rPr>
        <w:t>et</w:t>
      </w:r>
      <w:proofErr w:type="gramEnd"/>
      <w:r w:rsidRPr="003656E0">
        <w:rPr>
          <w:rFonts w:ascii="Verdana" w:eastAsia="Times New Roman" w:hAnsi="Verdana" w:cs="Times New Roman"/>
          <w:color w:val="484848"/>
          <w:lang w:eastAsia="fr-FR"/>
        </w:rPr>
        <w:t xml:space="preserve"> sous quelle forme ?</w:t>
      </w:r>
    </w:p>
    <w:p w:rsidR="003656E0" w:rsidRPr="003656E0" w:rsidRDefault="003656E0" w:rsidP="00A924E7">
      <w:pPr>
        <w:shd w:val="clear" w:color="auto" w:fill="FFFFFF"/>
        <w:spacing w:after="120"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Réponse :</w:t>
      </w:r>
      <w:r w:rsidRPr="00A924E7">
        <w:rPr>
          <w:rFonts w:ascii="Verdana" w:eastAsia="Times New Roman" w:hAnsi="Verdana" w:cs="Times New Roman"/>
          <w:color w:val="484848"/>
          <w:lang w:eastAsia="fr-FR"/>
        </w:rPr>
        <w:t> </w:t>
      </w:r>
      <w:r w:rsidRPr="003656E0">
        <w:rPr>
          <w:rFonts w:ascii="Verdana" w:eastAsia="Times New Roman" w:hAnsi="Verdana" w:cs="Times New Roman"/>
          <w:color w:val="484848"/>
          <w:lang w:eastAsia="fr-FR"/>
        </w:rPr>
        <w:br/>
        <w:t xml:space="preserve">Le certificat d’urbanisme ne porte en principe que sur un seul terrain. Dans le cas où la demande de certificat d’urbanisme concerne une opération à réaliser sur deux terrains non </w:t>
      </w:r>
      <w:proofErr w:type="spellStart"/>
      <w:r w:rsidRPr="003656E0">
        <w:rPr>
          <w:rFonts w:ascii="Verdana" w:eastAsia="Times New Roman" w:hAnsi="Verdana" w:cs="Times New Roman"/>
          <w:color w:val="484848"/>
          <w:lang w:eastAsia="fr-FR"/>
        </w:rPr>
        <w:t>contigüs</w:t>
      </w:r>
      <w:proofErr w:type="spellEnd"/>
      <w:r w:rsidRPr="003656E0">
        <w:rPr>
          <w:rFonts w:ascii="Verdana" w:eastAsia="Times New Roman" w:hAnsi="Verdana" w:cs="Times New Roman"/>
          <w:color w:val="484848"/>
          <w:lang w:eastAsia="fr-FR"/>
        </w:rPr>
        <w:t>, la réponse devra porter sur les deux terrains.</w:t>
      </w:r>
    </w:p>
    <w:p w:rsidR="003656E0" w:rsidRPr="003656E0" w:rsidRDefault="003656E0" w:rsidP="00A924E7">
      <w:pPr>
        <w:shd w:val="clear" w:color="auto" w:fill="FFFFFF"/>
        <w:spacing w:before="225" w:after="72" w:line="240" w:lineRule="auto"/>
        <w:ind w:left="-851" w:right="-709"/>
        <w:outlineLvl w:val="1"/>
        <w:rPr>
          <w:rFonts w:ascii="Verdana" w:eastAsia="Times New Roman" w:hAnsi="Verdana" w:cs="Times New Roman"/>
          <w:b/>
          <w:bCs/>
          <w:color w:val="70A50F"/>
          <w:lang w:eastAsia="fr-FR"/>
        </w:rPr>
      </w:pPr>
      <w:bookmarkStart w:id="0" w:name="sommaire_250"/>
      <w:bookmarkEnd w:id="0"/>
      <w:proofErr w:type="spellStart"/>
      <w:r w:rsidRPr="003656E0">
        <w:rPr>
          <w:rFonts w:ascii="Verdana" w:eastAsia="Times New Roman" w:hAnsi="Verdana" w:cs="Times New Roman"/>
          <w:b/>
          <w:bCs/>
          <w:color w:val="70A50F"/>
          <w:lang w:eastAsia="fr-FR"/>
        </w:rPr>
        <w:t>CUa</w:t>
      </w:r>
      <w:proofErr w:type="spellEnd"/>
      <w:r w:rsidRPr="003656E0">
        <w:rPr>
          <w:rFonts w:ascii="Verdana" w:eastAsia="Times New Roman" w:hAnsi="Verdana" w:cs="Times New Roman"/>
          <w:b/>
          <w:bCs/>
          <w:color w:val="70A50F"/>
          <w:lang w:eastAsia="fr-FR"/>
        </w:rPr>
        <w:t xml:space="preserve"> et contrôle de légalité</w:t>
      </w:r>
    </w:p>
    <w:p w:rsidR="003656E0" w:rsidRPr="003656E0" w:rsidRDefault="003656E0" w:rsidP="00A924E7">
      <w:pPr>
        <w:shd w:val="clear" w:color="auto" w:fill="FFFFFF"/>
        <w:spacing w:after="120"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Description :</w:t>
      </w:r>
      <w:r w:rsidRPr="00A924E7">
        <w:rPr>
          <w:rFonts w:ascii="Verdana" w:eastAsia="Times New Roman" w:hAnsi="Verdana" w:cs="Times New Roman"/>
          <w:color w:val="484848"/>
          <w:lang w:eastAsia="fr-FR"/>
        </w:rPr>
        <w:t> </w:t>
      </w:r>
      <w:r w:rsidRPr="003656E0">
        <w:rPr>
          <w:rFonts w:ascii="Verdana" w:eastAsia="Times New Roman" w:hAnsi="Verdana" w:cs="Times New Roman"/>
          <w:color w:val="484848"/>
          <w:lang w:eastAsia="fr-FR"/>
        </w:rPr>
        <w:br/>
        <w:t>L’article R.410-3 prévoit la transmission de la demande uniquement dans le cas du CU b). Qu’en est-il de la décision pour un CU a):l’article R.410-19 mentionne la transmission des décisions dans les conditions définies aux articles L.2131-1 et 2 du CGCT, or celui-ci ne distingue pas les 2 types de CU.</w:t>
      </w:r>
    </w:p>
    <w:p w:rsidR="003656E0" w:rsidRPr="003656E0" w:rsidRDefault="003656E0" w:rsidP="00A924E7">
      <w:pPr>
        <w:shd w:val="clear" w:color="auto" w:fill="FFFFFF"/>
        <w:spacing w:after="120"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Réponse :</w:t>
      </w:r>
      <w:r w:rsidRPr="00A924E7">
        <w:rPr>
          <w:rFonts w:ascii="Verdana" w:eastAsia="Times New Roman" w:hAnsi="Verdana" w:cs="Times New Roman"/>
          <w:color w:val="484848"/>
          <w:lang w:eastAsia="fr-FR"/>
        </w:rPr>
        <w:t> </w:t>
      </w:r>
      <w:r w:rsidRPr="003656E0">
        <w:rPr>
          <w:rFonts w:ascii="Verdana" w:eastAsia="Times New Roman" w:hAnsi="Verdana" w:cs="Times New Roman"/>
          <w:color w:val="484848"/>
          <w:lang w:eastAsia="fr-FR"/>
        </w:rPr>
        <w:br/>
        <w:t xml:space="preserve">Le CU a) n’a qu’un seul effet : informer des règles existantes et garantir au bénéficiaire que les modifications de règles ne lui seront pas </w:t>
      </w:r>
      <w:proofErr w:type="gramStart"/>
      <w:r w:rsidRPr="003656E0">
        <w:rPr>
          <w:rFonts w:ascii="Verdana" w:eastAsia="Times New Roman" w:hAnsi="Verdana" w:cs="Times New Roman"/>
          <w:color w:val="484848"/>
          <w:lang w:eastAsia="fr-FR"/>
        </w:rPr>
        <w:t>opposable</w:t>
      </w:r>
      <w:proofErr w:type="gramEnd"/>
      <w:r w:rsidRPr="003656E0">
        <w:rPr>
          <w:rFonts w:ascii="Verdana" w:eastAsia="Times New Roman" w:hAnsi="Verdana" w:cs="Times New Roman"/>
          <w:color w:val="484848"/>
          <w:lang w:eastAsia="fr-FR"/>
        </w:rPr>
        <w:t xml:space="preserve"> si sa demande ou sa déclaration est déposée dans les 18 mois. Il n’a pas paru nécessaire d’organiser un contrôle de la légalité d’un tel document.</w:t>
      </w:r>
    </w:p>
    <w:p w:rsidR="003656E0" w:rsidRPr="003656E0" w:rsidRDefault="003656E0" w:rsidP="00A924E7">
      <w:pPr>
        <w:shd w:val="clear" w:color="auto" w:fill="FFFFFF"/>
        <w:spacing w:before="225" w:after="72" w:line="240" w:lineRule="auto"/>
        <w:ind w:left="-851" w:right="-709"/>
        <w:outlineLvl w:val="1"/>
        <w:rPr>
          <w:rFonts w:ascii="Verdana" w:eastAsia="Times New Roman" w:hAnsi="Verdana" w:cs="Times New Roman"/>
          <w:b/>
          <w:bCs/>
          <w:color w:val="70A50F"/>
          <w:lang w:eastAsia="fr-FR"/>
        </w:rPr>
      </w:pPr>
      <w:bookmarkStart w:id="1" w:name="sommaire_22"/>
      <w:bookmarkEnd w:id="1"/>
      <w:r w:rsidRPr="003656E0">
        <w:rPr>
          <w:rFonts w:ascii="Verdana" w:eastAsia="Times New Roman" w:hAnsi="Verdana" w:cs="Times New Roman"/>
          <w:b/>
          <w:bCs/>
          <w:color w:val="70A50F"/>
          <w:lang w:eastAsia="fr-FR"/>
        </w:rPr>
        <w:t>Terrain dans ou hors partie actuellement urbanisée (PAU)</w:t>
      </w:r>
    </w:p>
    <w:p w:rsidR="003656E0" w:rsidRPr="003656E0" w:rsidRDefault="003656E0" w:rsidP="00A924E7">
      <w:pPr>
        <w:shd w:val="clear" w:color="auto" w:fill="FFFFFF"/>
        <w:spacing w:after="120"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Description :</w:t>
      </w:r>
      <w:r w:rsidRPr="00A924E7">
        <w:rPr>
          <w:rFonts w:ascii="Verdana" w:eastAsia="Times New Roman" w:hAnsi="Verdana" w:cs="Times New Roman"/>
          <w:color w:val="484848"/>
          <w:lang w:eastAsia="fr-FR"/>
        </w:rPr>
        <w:t> </w:t>
      </w:r>
      <w:r w:rsidRPr="003656E0">
        <w:rPr>
          <w:rFonts w:ascii="Verdana" w:eastAsia="Times New Roman" w:hAnsi="Verdana" w:cs="Times New Roman"/>
          <w:color w:val="484848"/>
          <w:lang w:eastAsia="fr-FR"/>
        </w:rPr>
        <w:br/>
        <w:t>Le CU a) doit-il indiquer si le terrain est dans, ou hors partie actuellement urbanisée (PAU) au titre de l’article L. 111-1-2, et de ce fait peut-il y avoir avis divergent avec le maire dès ce stade ?</w:t>
      </w:r>
    </w:p>
    <w:p w:rsidR="003656E0" w:rsidRPr="003656E0" w:rsidRDefault="003656E0" w:rsidP="00A924E7">
      <w:pPr>
        <w:shd w:val="clear" w:color="auto" w:fill="FFFFFF"/>
        <w:spacing w:after="0"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Réponse :</w:t>
      </w:r>
      <w:r w:rsidRPr="00A924E7">
        <w:rPr>
          <w:rFonts w:ascii="Verdana" w:eastAsia="Times New Roman" w:hAnsi="Verdana" w:cs="Times New Roman"/>
          <w:color w:val="484848"/>
          <w:lang w:eastAsia="fr-FR"/>
        </w:rPr>
        <w:t> </w:t>
      </w:r>
    </w:p>
    <w:p w:rsidR="003656E0" w:rsidRPr="003656E0" w:rsidRDefault="003656E0" w:rsidP="00A924E7">
      <w:pPr>
        <w:shd w:val="clear" w:color="auto" w:fill="FFFFFF"/>
        <w:spacing w:after="225"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Le CU a, certificat de simple information, qui ne se prononce pas sur la possibilité de réaliser ou non une opération, se contente d’indiquer le droit applicable. Dans une commune qui n’est dotée ni de carte communale ni de PLU, il indique donc que le RNU s’applique ainsi que l’article L. 111-1-2 sur la constructibilité limitée, sans se prononcer sur la situation du terrain dans ou hors partie actuellement urbanisée (PAU).</w:t>
      </w:r>
    </w:p>
    <w:p w:rsidR="003656E0" w:rsidRPr="003656E0" w:rsidRDefault="003656E0" w:rsidP="00A924E7">
      <w:pPr>
        <w:shd w:val="clear" w:color="auto" w:fill="FFFFFF"/>
        <w:spacing w:after="225"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C’est le CU b qui indique, en fonction de la demande, si le terrain ou la partie de terrain devant supporter le projet est situé ou non dans la PAU.</w:t>
      </w:r>
    </w:p>
    <w:p w:rsidR="003656E0" w:rsidRPr="003656E0" w:rsidRDefault="003656E0" w:rsidP="00A924E7">
      <w:pPr>
        <w:shd w:val="clear" w:color="auto" w:fill="FFFFFF"/>
        <w:spacing w:after="225"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Il peut donc y avoir un désaccord avec le maire sur la réponse à un CU b, mais pas sur la réponse à un CU a.</w:t>
      </w:r>
    </w:p>
    <w:p w:rsidR="003656E0" w:rsidRPr="003656E0" w:rsidRDefault="003656E0" w:rsidP="00A924E7">
      <w:pPr>
        <w:shd w:val="clear" w:color="auto" w:fill="FFFFFF"/>
        <w:spacing w:before="225" w:after="72" w:line="240" w:lineRule="auto"/>
        <w:ind w:left="-851" w:right="-709"/>
        <w:outlineLvl w:val="1"/>
        <w:rPr>
          <w:rFonts w:ascii="Verdana" w:eastAsia="Times New Roman" w:hAnsi="Verdana" w:cs="Times New Roman"/>
          <w:b/>
          <w:bCs/>
          <w:color w:val="70A50F"/>
          <w:lang w:eastAsia="fr-FR"/>
        </w:rPr>
      </w:pPr>
      <w:bookmarkStart w:id="2" w:name="sommaire_21"/>
      <w:bookmarkEnd w:id="2"/>
      <w:r w:rsidRPr="003656E0">
        <w:rPr>
          <w:rFonts w:ascii="Verdana" w:eastAsia="Times New Roman" w:hAnsi="Verdana" w:cs="Times New Roman"/>
          <w:b/>
          <w:bCs/>
          <w:color w:val="70A50F"/>
          <w:lang w:eastAsia="fr-FR"/>
        </w:rPr>
        <w:t>Pièces manquantes</w:t>
      </w:r>
    </w:p>
    <w:p w:rsidR="003656E0" w:rsidRPr="003656E0" w:rsidRDefault="003656E0" w:rsidP="00A924E7">
      <w:pPr>
        <w:shd w:val="clear" w:color="auto" w:fill="FFFFFF"/>
        <w:spacing w:after="120"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Description :</w:t>
      </w:r>
      <w:r w:rsidRPr="00A924E7">
        <w:rPr>
          <w:rFonts w:ascii="Verdana" w:eastAsia="Times New Roman" w:hAnsi="Verdana" w:cs="Times New Roman"/>
          <w:color w:val="484848"/>
          <w:lang w:eastAsia="fr-FR"/>
        </w:rPr>
        <w:t> </w:t>
      </w:r>
      <w:r w:rsidRPr="003656E0">
        <w:rPr>
          <w:rFonts w:ascii="Verdana" w:eastAsia="Times New Roman" w:hAnsi="Verdana" w:cs="Times New Roman"/>
          <w:color w:val="484848"/>
          <w:lang w:eastAsia="fr-FR"/>
        </w:rPr>
        <w:br/>
        <w:t>Pour les CU, le décret ne prévoit pas la possibilité de réclamer des pièces en cours d’instruction. Comment devra-t-on agir lorsque par exemple le plan de situation manquera?</w:t>
      </w:r>
    </w:p>
    <w:p w:rsidR="003656E0" w:rsidRPr="003656E0" w:rsidRDefault="003656E0" w:rsidP="00A924E7">
      <w:pPr>
        <w:shd w:val="clear" w:color="auto" w:fill="FFFFFF"/>
        <w:spacing w:after="0"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Réponse :</w:t>
      </w:r>
      <w:r w:rsidRPr="00A924E7">
        <w:rPr>
          <w:rFonts w:ascii="Verdana" w:eastAsia="Times New Roman" w:hAnsi="Verdana" w:cs="Times New Roman"/>
          <w:color w:val="484848"/>
          <w:lang w:eastAsia="fr-FR"/>
        </w:rPr>
        <w:t> </w:t>
      </w:r>
    </w:p>
    <w:p w:rsidR="003656E0" w:rsidRPr="003656E0" w:rsidRDefault="003656E0" w:rsidP="00A924E7">
      <w:pPr>
        <w:shd w:val="clear" w:color="auto" w:fill="FFFFFF"/>
        <w:spacing w:after="225"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C’est un faux problème car si le CU a est incomplet cela veut dire qu’il manque le plan de situation et que le terrain n’est pas identifiable. Le CU, bien que tacite n’aura aucune portée.</w:t>
      </w:r>
    </w:p>
    <w:p w:rsidR="003656E0" w:rsidRPr="003656E0" w:rsidRDefault="003656E0" w:rsidP="00A924E7">
      <w:pPr>
        <w:shd w:val="clear" w:color="auto" w:fill="FFFFFF"/>
        <w:spacing w:after="225"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lastRenderedPageBreak/>
        <w:t>Dans une telle situation il convient d’adresser un courrier au demandeur de CU pour l’informer que, sa demande étant incomplète, elle ne peut pas être instruite. Il doit donc déposer une nouvelle demande.</w:t>
      </w:r>
    </w:p>
    <w:p w:rsidR="003656E0" w:rsidRPr="003656E0" w:rsidRDefault="003656E0" w:rsidP="00A924E7">
      <w:pPr>
        <w:shd w:val="clear" w:color="auto" w:fill="FFFFFF"/>
        <w:spacing w:before="225" w:after="72" w:line="240" w:lineRule="auto"/>
        <w:ind w:left="-851" w:right="-709"/>
        <w:outlineLvl w:val="1"/>
        <w:rPr>
          <w:rFonts w:ascii="Verdana" w:eastAsia="Times New Roman" w:hAnsi="Verdana" w:cs="Times New Roman"/>
          <w:b/>
          <w:bCs/>
          <w:color w:val="70A50F"/>
          <w:lang w:eastAsia="fr-FR"/>
        </w:rPr>
      </w:pPr>
      <w:bookmarkStart w:id="3" w:name="sommaire_20"/>
      <w:bookmarkEnd w:id="3"/>
      <w:r w:rsidRPr="003656E0">
        <w:rPr>
          <w:rFonts w:ascii="Verdana" w:eastAsia="Times New Roman" w:hAnsi="Verdana" w:cs="Times New Roman"/>
          <w:b/>
          <w:bCs/>
          <w:color w:val="70A50F"/>
          <w:lang w:eastAsia="fr-FR"/>
        </w:rPr>
        <w:t>Avis du maire</w:t>
      </w:r>
    </w:p>
    <w:p w:rsidR="003656E0" w:rsidRPr="003656E0" w:rsidRDefault="003656E0" w:rsidP="00A924E7">
      <w:pPr>
        <w:shd w:val="clear" w:color="auto" w:fill="FFFFFF"/>
        <w:spacing w:after="120"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Description :</w:t>
      </w:r>
      <w:r w:rsidRPr="00A924E7">
        <w:rPr>
          <w:rFonts w:ascii="Verdana" w:eastAsia="Times New Roman" w:hAnsi="Verdana" w:cs="Times New Roman"/>
          <w:color w:val="484848"/>
          <w:lang w:eastAsia="fr-FR"/>
        </w:rPr>
        <w:t> </w:t>
      </w:r>
      <w:r w:rsidRPr="003656E0">
        <w:rPr>
          <w:rFonts w:ascii="Verdana" w:eastAsia="Times New Roman" w:hAnsi="Verdana" w:cs="Times New Roman"/>
          <w:color w:val="484848"/>
          <w:lang w:eastAsia="fr-FR"/>
        </w:rPr>
        <w:br/>
        <w:t>Pour les CU des communes soumises au RNU, l’article R. 410-6 prévoit que le maire transmet son « avis » mais que passé ce délai, il n’a pas d’ « observations » à formuler. Quel est le terme exact?</w:t>
      </w:r>
    </w:p>
    <w:p w:rsidR="003656E0" w:rsidRPr="003656E0" w:rsidRDefault="003656E0" w:rsidP="00A924E7">
      <w:pPr>
        <w:shd w:val="clear" w:color="auto" w:fill="FFFFFF"/>
        <w:spacing w:after="120"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Réponse :</w:t>
      </w:r>
      <w:r w:rsidRPr="00A924E7">
        <w:rPr>
          <w:rFonts w:ascii="Verdana" w:eastAsia="Times New Roman" w:hAnsi="Verdana" w:cs="Times New Roman"/>
          <w:color w:val="484848"/>
          <w:lang w:eastAsia="fr-FR"/>
        </w:rPr>
        <w:t> </w:t>
      </w:r>
      <w:r w:rsidRPr="003656E0">
        <w:rPr>
          <w:rFonts w:ascii="Verdana" w:eastAsia="Times New Roman" w:hAnsi="Verdana" w:cs="Times New Roman"/>
          <w:color w:val="484848"/>
          <w:lang w:eastAsia="fr-FR"/>
        </w:rPr>
        <w:br/>
        <w:t>Si le maire ne formule pas d’observations dans les délais, il n’a pas d’avis particulier. Quelle que soit le terme employé, c’est la stabilisation des règles à la date du CU tacite qui importe le plus</w:t>
      </w:r>
    </w:p>
    <w:p w:rsidR="003656E0" w:rsidRPr="003656E0" w:rsidRDefault="003656E0" w:rsidP="00A924E7">
      <w:pPr>
        <w:shd w:val="clear" w:color="auto" w:fill="FFFFFF"/>
        <w:spacing w:before="225" w:after="72" w:line="240" w:lineRule="auto"/>
        <w:ind w:left="-851" w:right="-709"/>
        <w:outlineLvl w:val="1"/>
        <w:rPr>
          <w:rFonts w:ascii="Verdana" w:eastAsia="Times New Roman" w:hAnsi="Verdana" w:cs="Times New Roman"/>
          <w:b/>
          <w:bCs/>
          <w:color w:val="70A50F"/>
          <w:lang w:eastAsia="fr-FR"/>
        </w:rPr>
      </w:pPr>
      <w:bookmarkStart w:id="4" w:name="sommaire_19"/>
      <w:bookmarkEnd w:id="4"/>
      <w:r w:rsidRPr="003656E0">
        <w:rPr>
          <w:rFonts w:ascii="Verdana" w:eastAsia="Times New Roman" w:hAnsi="Verdana" w:cs="Times New Roman"/>
          <w:b/>
          <w:bCs/>
          <w:color w:val="70A50F"/>
          <w:lang w:eastAsia="fr-FR"/>
        </w:rPr>
        <w:t>Transmission du dossier à l’ABF</w:t>
      </w:r>
    </w:p>
    <w:p w:rsidR="003656E0" w:rsidRPr="003656E0" w:rsidRDefault="003656E0" w:rsidP="00A924E7">
      <w:pPr>
        <w:shd w:val="clear" w:color="auto" w:fill="FFFFFF"/>
        <w:spacing w:after="120"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Description :</w:t>
      </w:r>
      <w:r w:rsidRPr="00A924E7">
        <w:rPr>
          <w:rFonts w:ascii="Verdana" w:eastAsia="Times New Roman" w:hAnsi="Verdana" w:cs="Times New Roman"/>
          <w:color w:val="484848"/>
          <w:lang w:eastAsia="fr-FR"/>
        </w:rPr>
        <w:t> </w:t>
      </w:r>
      <w:r w:rsidRPr="003656E0">
        <w:rPr>
          <w:rFonts w:ascii="Verdana" w:eastAsia="Times New Roman" w:hAnsi="Verdana" w:cs="Times New Roman"/>
          <w:color w:val="484848"/>
          <w:lang w:eastAsia="fr-FR"/>
        </w:rPr>
        <w:br/>
        <w:t>Quelle est la portée exacte de la transmission du dossier à l’Architecte des bâtiments de France (ABF) exécutée en application de l’article R. 410-3, s’il n’est pas prévu de recueillir son avis ?</w:t>
      </w:r>
    </w:p>
    <w:p w:rsidR="003656E0" w:rsidRPr="003656E0" w:rsidRDefault="003656E0" w:rsidP="00A924E7">
      <w:pPr>
        <w:shd w:val="clear" w:color="auto" w:fill="FFFFFF"/>
        <w:spacing w:after="0"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Réponse :</w:t>
      </w:r>
      <w:r w:rsidRPr="00A924E7">
        <w:rPr>
          <w:rFonts w:ascii="Verdana" w:eastAsia="Times New Roman" w:hAnsi="Verdana" w:cs="Times New Roman"/>
          <w:color w:val="484848"/>
          <w:lang w:eastAsia="fr-FR"/>
        </w:rPr>
        <w:t> </w:t>
      </w:r>
    </w:p>
    <w:p w:rsidR="003656E0" w:rsidRPr="003656E0" w:rsidRDefault="003656E0" w:rsidP="00A924E7">
      <w:pPr>
        <w:shd w:val="clear" w:color="auto" w:fill="FFFFFF"/>
        <w:spacing w:after="225"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Au stade du certificat d’urbanisme il n’y a pas lieu de consulter l’ABF. Par contre il y a obligation de mentionner dans le CU que le permis sera subordonné à l’accord de l’ABF.</w:t>
      </w:r>
    </w:p>
    <w:p w:rsidR="003656E0" w:rsidRPr="003656E0" w:rsidRDefault="003656E0" w:rsidP="00A924E7">
      <w:pPr>
        <w:shd w:val="clear" w:color="auto" w:fill="FFFFFF"/>
        <w:spacing w:after="225"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Seules deux consultations sont prévues, dans le cadre du CU b : la desserte en réseau et la possibilité de sortir sur la rue (R 423-52 et R 423-53).</w:t>
      </w:r>
    </w:p>
    <w:p w:rsidR="003656E0" w:rsidRPr="003656E0" w:rsidRDefault="003656E0" w:rsidP="00A924E7">
      <w:pPr>
        <w:shd w:val="clear" w:color="auto" w:fill="FFFFFF"/>
        <w:spacing w:after="225"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La transmission du dossier à l’ABF a pour but de l’informer de l’existence d’un certificat d’urbanisme.</w:t>
      </w:r>
    </w:p>
    <w:p w:rsidR="003656E0" w:rsidRPr="003656E0" w:rsidRDefault="003656E0" w:rsidP="00A924E7">
      <w:pPr>
        <w:shd w:val="clear" w:color="auto" w:fill="FFFFFF"/>
        <w:spacing w:before="225" w:after="72" w:line="240" w:lineRule="auto"/>
        <w:ind w:left="-851" w:right="-709"/>
        <w:outlineLvl w:val="1"/>
        <w:rPr>
          <w:rFonts w:ascii="Verdana" w:eastAsia="Times New Roman" w:hAnsi="Verdana" w:cs="Times New Roman"/>
          <w:b/>
          <w:bCs/>
          <w:color w:val="70A50F"/>
          <w:lang w:eastAsia="fr-FR"/>
        </w:rPr>
      </w:pPr>
      <w:bookmarkStart w:id="5" w:name="sommaire_18"/>
      <w:bookmarkEnd w:id="5"/>
      <w:r w:rsidRPr="003656E0">
        <w:rPr>
          <w:rFonts w:ascii="Verdana" w:eastAsia="Times New Roman" w:hAnsi="Verdana" w:cs="Times New Roman"/>
          <w:b/>
          <w:bCs/>
          <w:color w:val="70A50F"/>
          <w:lang w:eastAsia="fr-FR"/>
        </w:rPr>
        <w:t>Service instructeur</w:t>
      </w:r>
    </w:p>
    <w:p w:rsidR="003656E0" w:rsidRPr="003656E0" w:rsidRDefault="003656E0" w:rsidP="00A924E7">
      <w:pPr>
        <w:shd w:val="clear" w:color="auto" w:fill="FFFFFF"/>
        <w:spacing w:after="120"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Description :</w:t>
      </w:r>
      <w:r w:rsidRPr="00A924E7">
        <w:rPr>
          <w:rFonts w:ascii="Verdana" w:eastAsia="Times New Roman" w:hAnsi="Verdana" w:cs="Times New Roman"/>
          <w:color w:val="484848"/>
          <w:lang w:eastAsia="fr-FR"/>
        </w:rPr>
        <w:t> </w:t>
      </w:r>
      <w:r w:rsidRPr="003656E0">
        <w:rPr>
          <w:rFonts w:ascii="Verdana" w:eastAsia="Times New Roman" w:hAnsi="Verdana" w:cs="Times New Roman"/>
          <w:color w:val="484848"/>
          <w:lang w:eastAsia="fr-FR"/>
        </w:rPr>
        <w:br/>
        <w:t>Le service qui instruit les certificats d’urbanisme (CU) peut-il être différent du service qui instruit les autorisations ?</w:t>
      </w:r>
    </w:p>
    <w:p w:rsidR="003656E0" w:rsidRPr="003656E0" w:rsidRDefault="003656E0" w:rsidP="00A924E7">
      <w:pPr>
        <w:shd w:val="clear" w:color="auto" w:fill="FFFFFF"/>
        <w:spacing w:after="0"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Réponse :</w:t>
      </w:r>
      <w:r w:rsidRPr="00A924E7">
        <w:rPr>
          <w:rFonts w:ascii="Verdana" w:eastAsia="Times New Roman" w:hAnsi="Verdana" w:cs="Times New Roman"/>
          <w:color w:val="484848"/>
          <w:lang w:eastAsia="fr-FR"/>
        </w:rPr>
        <w:t> </w:t>
      </w:r>
    </w:p>
    <w:p w:rsidR="003656E0" w:rsidRPr="003656E0" w:rsidRDefault="003656E0" w:rsidP="00A924E7">
      <w:pPr>
        <w:shd w:val="clear" w:color="auto" w:fill="FFFFFF"/>
        <w:spacing w:after="225"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Oui, pour les CU de compétence commune. Cela relève des conventions. Elles doivent être très précises quant aux actes qui doivent être instruits par la DDE dans le cadre de la mise à disposition gratuite de l’Etat.</w:t>
      </w:r>
    </w:p>
    <w:p w:rsidR="003656E0" w:rsidRPr="003656E0" w:rsidRDefault="003656E0" w:rsidP="00A924E7">
      <w:pPr>
        <w:shd w:val="clear" w:color="auto" w:fill="FFFFFF"/>
        <w:spacing w:after="225" w:line="264" w:lineRule="atLeast"/>
        <w:ind w:left="-851" w:right="-709"/>
        <w:jc w:val="both"/>
        <w:rPr>
          <w:rFonts w:ascii="Verdana" w:eastAsia="Times New Roman" w:hAnsi="Verdana" w:cs="Times New Roman"/>
          <w:color w:val="484848"/>
          <w:lang w:eastAsia="fr-FR"/>
        </w:rPr>
      </w:pPr>
      <w:r w:rsidRPr="003656E0">
        <w:rPr>
          <w:rFonts w:ascii="Verdana" w:eastAsia="Times New Roman" w:hAnsi="Verdana" w:cs="Times New Roman"/>
          <w:color w:val="484848"/>
          <w:lang w:eastAsia="fr-FR"/>
        </w:rPr>
        <w:t>Pour les CU Etat, le service instructeur est toujours la DDE.</w:t>
      </w:r>
    </w:p>
    <w:p w:rsidR="006166A0" w:rsidRDefault="006166A0"/>
    <w:sectPr w:rsidR="006166A0" w:rsidSect="00A924E7">
      <w:pgSz w:w="11906" w:h="16838"/>
      <w:pgMar w:top="1135"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56E0"/>
    <w:rsid w:val="0014763E"/>
    <w:rsid w:val="002000D7"/>
    <w:rsid w:val="003656E0"/>
    <w:rsid w:val="006166A0"/>
    <w:rsid w:val="00A924E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6A0"/>
  </w:style>
  <w:style w:type="paragraph" w:styleId="Titre2">
    <w:name w:val="heading 2"/>
    <w:basedOn w:val="Normal"/>
    <w:link w:val="Titre2Car"/>
    <w:uiPriority w:val="9"/>
    <w:qFormat/>
    <w:rsid w:val="003656E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656E0"/>
    <w:rPr>
      <w:rFonts w:ascii="Times New Roman" w:eastAsia="Times New Roman" w:hAnsi="Times New Roman" w:cs="Times New Roman"/>
      <w:b/>
      <w:bCs/>
      <w:sz w:val="36"/>
      <w:szCs w:val="36"/>
      <w:lang w:eastAsia="fr-FR"/>
    </w:rPr>
  </w:style>
  <w:style w:type="character" w:customStyle="1" w:styleId="apple-converted-space">
    <w:name w:val="apple-converted-space"/>
    <w:basedOn w:val="Policepardfaut"/>
    <w:rsid w:val="003656E0"/>
  </w:style>
  <w:style w:type="paragraph" w:styleId="NormalWeb">
    <w:name w:val="Normal (Web)"/>
    <w:basedOn w:val="Normal"/>
    <w:uiPriority w:val="99"/>
    <w:semiHidden/>
    <w:unhideWhenUsed/>
    <w:rsid w:val="003656E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249344335">
      <w:bodyDiv w:val="1"/>
      <w:marLeft w:val="0"/>
      <w:marRight w:val="0"/>
      <w:marTop w:val="0"/>
      <w:marBottom w:val="0"/>
      <w:divBdr>
        <w:top w:val="none" w:sz="0" w:space="0" w:color="auto"/>
        <w:left w:val="none" w:sz="0" w:space="0" w:color="auto"/>
        <w:bottom w:val="none" w:sz="0" w:space="0" w:color="auto"/>
        <w:right w:val="none" w:sz="0" w:space="0" w:color="auto"/>
      </w:divBdr>
      <w:divsChild>
        <w:div w:id="2063939787">
          <w:marLeft w:val="0"/>
          <w:marRight w:val="0"/>
          <w:marTop w:val="0"/>
          <w:marBottom w:val="120"/>
          <w:divBdr>
            <w:top w:val="none" w:sz="0" w:space="0" w:color="auto"/>
            <w:left w:val="none" w:sz="0" w:space="0" w:color="auto"/>
            <w:bottom w:val="none" w:sz="0" w:space="0" w:color="auto"/>
            <w:right w:val="none" w:sz="0" w:space="0" w:color="auto"/>
          </w:divBdr>
        </w:div>
        <w:div w:id="1257249429">
          <w:marLeft w:val="0"/>
          <w:marRight w:val="0"/>
          <w:marTop w:val="0"/>
          <w:marBottom w:val="120"/>
          <w:divBdr>
            <w:top w:val="none" w:sz="0" w:space="0" w:color="auto"/>
            <w:left w:val="none" w:sz="0" w:space="0" w:color="auto"/>
            <w:bottom w:val="none" w:sz="0" w:space="0" w:color="auto"/>
            <w:right w:val="none" w:sz="0" w:space="0" w:color="auto"/>
          </w:divBdr>
        </w:div>
        <w:div w:id="1532495202">
          <w:marLeft w:val="0"/>
          <w:marRight w:val="0"/>
          <w:marTop w:val="0"/>
          <w:marBottom w:val="120"/>
          <w:divBdr>
            <w:top w:val="none" w:sz="0" w:space="0" w:color="auto"/>
            <w:left w:val="none" w:sz="0" w:space="0" w:color="auto"/>
            <w:bottom w:val="none" w:sz="0" w:space="0" w:color="auto"/>
            <w:right w:val="none" w:sz="0" w:space="0" w:color="auto"/>
          </w:divBdr>
        </w:div>
        <w:div w:id="1999338408">
          <w:marLeft w:val="0"/>
          <w:marRight w:val="0"/>
          <w:marTop w:val="0"/>
          <w:marBottom w:val="120"/>
          <w:divBdr>
            <w:top w:val="none" w:sz="0" w:space="0" w:color="auto"/>
            <w:left w:val="none" w:sz="0" w:space="0" w:color="auto"/>
            <w:bottom w:val="none" w:sz="0" w:space="0" w:color="auto"/>
            <w:right w:val="none" w:sz="0" w:space="0" w:color="auto"/>
          </w:divBdr>
        </w:div>
        <w:div w:id="217396751">
          <w:marLeft w:val="0"/>
          <w:marRight w:val="0"/>
          <w:marTop w:val="0"/>
          <w:marBottom w:val="120"/>
          <w:divBdr>
            <w:top w:val="none" w:sz="0" w:space="0" w:color="auto"/>
            <w:left w:val="none" w:sz="0" w:space="0" w:color="auto"/>
            <w:bottom w:val="none" w:sz="0" w:space="0" w:color="auto"/>
            <w:right w:val="none" w:sz="0" w:space="0" w:color="auto"/>
          </w:divBdr>
        </w:div>
        <w:div w:id="1815248764">
          <w:marLeft w:val="0"/>
          <w:marRight w:val="0"/>
          <w:marTop w:val="0"/>
          <w:marBottom w:val="120"/>
          <w:divBdr>
            <w:top w:val="none" w:sz="0" w:space="0" w:color="auto"/>
            <w:left w:val="none" w:sz="0" w:space="0" w:color="auto"/>
            <w:bottom w:val="none" w:sz="0" w:space="0" w:color="auto"/>
            <w:right w:val="none" w:sz="0" w:space="0" w:color="auto"/>
          </w:divBdr>
        </w:div>
        <w:div w:id="1858275367">
          <w:marLeft w:val="0"/>
          <w:marRight w:val="0"/>
          <w:marTop w:val="0"/>
          <w:marBottom w:val="120"/>
          <w:divBdr>
            <w:top w:val="none" w:sz="0" w:space="0" w:color="auto"/>
            <w:left w:val="none" w:sz="0" w:space="0" w:color="auto"/>
            <w:bottom w:val="none" w:sz="0" w:space="0" w:color="auto"/>
            <w:right w:val="none" w:sz="0" w:space="0" w:color="auto"/>
          </w:divBdr>
        </w:div>
        <w:div w:id="1570995209">
          <w:marLeft w:val="0"/>
          <w:marRight w:val="0"/>
          <w:marTop w:val="0"/>
          <w:marBottom w:val="120"/>
          <w:divBdr>
            <w:top w:val="none" w:sz="0" w:space="0" w:color="auto"/>
            <w:left w:val="none" w:sz="0" w:space="0" w:color="auto"/>
            <w:bottom w:val="none" w:sz="0" w:space="0" w:color="auto"/>
            <w:right w:val="none" w:sz="0" w:space="0" w:color="auto"/>
          </w:divBdr>
        </w:div>
        <w:div w:id="35938264">
          <w:marLeft w:val="0"/>
          <w:marRight w:val="0"/>
          <w:marTop w:val="0"/>
          <w:marBottom w:val="120"/>
          <w:divBdr>
            <w:top w:val="none" w:sz="0" w:space="0" w:color="auto"/>
            <w:left w:val="none" w:sz="0" w:space="0" w:color="auto"/>
            <w:bottom w:val="none" w:sz="0" w:space="0" w:color="auto"/>
            <w:right w:val="none" w:sz="0" w:space="0" w:color="auto"/>
          </w:divBdr>
        </w:div>
        <w:div w:id="7568209">
          <w:marLeft w:val="0"/>
          <w:marRight w:val="0"/>
          <w:marTop w:val="0"/>
          <w:marBottom w:val="120"/>
          <w:divBdr>
            <w:top w:val="none" w:sz="0" w:space="0" w:color="auto"/>
            <w:left w:val="none" w:sz="0" w:space="0" w:color="auto"/>
            <w:bottom w:val="none" w:sz="0" w:space="0" w:color="auto"/>
            <w:right w:val="none" w:sz="0" w:space="0" w:color="auto"/>
          </w:divBdr>
        </w:div>
        <w:div w:id="2052076169">
          <w:marLeft w:val="0"/>
          <w:marRight w:val="0"/>
          <w:marTop w:val="0"/>
          <w:marBottom w:val="120"/>
          <w:divBdr>
            <w:top w:val="none" w:sz="0" w:space="0" w:color="auto"/>
            <w:left w:val="none" w:sz="0" w:space="0" w:color="auto"/>
            <w:bottom w:val="none" w:sz="0" w:space="0" w:color="auto"/>
            <w:right w:val="none" w:sz="0" w:space="0" w:color="auto"/>
          </w:divBdr>
        </w:div>
        <w:div w:id="1468545807">
          <w:marLeft w:val="0"/>
          <w:marRight w:val="0"/>
          <w:marTop w:val="0"/>
          <w:marBottom w:val="120"/>
          <w:divBdr>
            <w:top w:val="none" w:sz="0" w:space="0" w:color="auto"/>
            <w:left w:val="none" w:sz="0" w:space="0" w:color="auto"/>
            <w:bottom w:val="none" w:sz="0" w:space="0" w:color="auto"/>
            <w:right w:val="none" w:sz="0" w:space="0" w:color="auto"/>
          </w:divBdr>
        </w:div>
        <w:div w:id="964114432">
          <w:marLeft w:val="0"/>
          <w:marRight w:val="0"/>
          <w:marTop w:val="0"/>
          <w:marBottom w:val="120"/>
          <w:divBdr>
            <w:top w:val="none" w:sz="0" w:space="0" w:color="auto"/>
            <w:left w:val="none" w:sz="0" w:space="0" w:color="auto"/>
            <w:bottom w:val="none" w:sz="0" w:space="0" w:color="auto"/>
            <w:right w:val="none" w:sz="0" w:space="0" w:color="auto"/>
          </w:divBdr>
        </w:div>
        <w:div w:id="191824542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684</Words>
  <Characters>3768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dc:creator>
  <cp:lastModifiedBy>margot</cp:lastModifiedBy>
  <cp:revision>3</cp:revision>
  <dcterms:created xsi:type="dcterms:W3CDTF">2015-06-04T23:20:00Z</dcterms:created>
  <dcterms:modified xsi:type="dcterms:W3CDTF">2016-09-21T23:10:00Z</dcterms:modified>
</cp:coreProperties>
</file>