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D0BDA" w:rsidRPr="001D0BDA" w:rsidRDefault="001D0BDA" w:rsidP="001D0BDA">
      <w:pPr>
        <w:shd w:val="clear" w:color="auto" w:fill="FFFFFF"/>
        <w:spacing w:after="0" w:line="240" w:lineRule="auto"/>
        <w:jc w:val="center"/>
        <w:rPr>
          <w:rFonts w:ascii="Arial" w:eastAsia="Times New Roman" w:hAnsi="Arial" w:cs="Arial"/>
          <w:b/>
          <w:bCs/>
          <w:color w:val="000000"/>
          <w:sz w:val="20"/>
          <w:szCs w:val="20"/>
          <w:lang w:eastAsia="fr-FR"/>
        </w:rPr>
      </w:pPr>
      <w:r w:rsidRPr="001D0BDA">
        <w:rPr>
          <w:rFonts w:ascii="Arial" w:eastAsia="Times New Roman" w:hAnsi="Arial" w:cs="Arial"/>
          <w:b/>
          <w:bCs/>
          <w:color w:val="000000"/>
          <w:sz w:val="20"/>
          <w:szCs w:val="20"/>
          <w:lang w:eastAsia="fr-FR"/>
        </w:rPr>
        <w:t>Article 24</w:t>
      </w:r>
      <w:r w:rsidRPr="001D0BDA">
        <w:rPr>
          <w:rFonts w:ascii="Arial" w:eastAsia="Times New Roman" w:hAnsi="Arial" w:cs="Arial"/>
          <w:b/>
          <w:bCs/>
          <w:color w:val="000000"/>
          <w:sz w:val="20"/>
          <w:lang w:eastAsia="fr-FR"/>
        </w:rPr>
        <w:t> </w:t>
      </w:r>
      <w:hyperlink r:id="rId4" w:tooltip="En savoir plus sur l'article 24" w:history="1">
        <w:r w:rsidRPr="001D0BDA">
          <w:rPr>
            <w:rFonts w:ascii="Arial" w:eastAsia="Times New Roman" w:hAnsi="Arial" w:cs="Arial"/>
            <w:b/>
            <w:bCs/>
            <w:color w:val="336699"/>
            <w:sz w:val="20"/>
            <w:u w:val="single"/>
            <w:lang w:eastAsia="fr-FR"/>
          </w:rPr>
          <w:t>En savoir plus sur cet article...</w:t>
        </w:r>
      </w:hyperlink>
    </w:p>
    <w:p w:rsidR="001D0BDA" w:rsidRPr="001D0BDA" w:rsidRDefault="001D0BDA" w:rsidP="001D0BDA">
      <w:pPr>
        <w:shd w:val="clear" w:color="auto" w:fill="FFFFFF"/>
        <w:spacing w:after="0" w:line="196" w:lineRule="atLeast"/>
        <w:rPr>
          <w:rFonts w:ascii="Arial" w:eastAsia="Times New Roman" w:hAnsi="Arial" w:cs="Arial"/>
          <w:color w:val="000000"/>
          <w:sz w:val="16"/>
          <w:szCs w:val="16"/>
          <w:lang w:eastAsia="fr-FR"/>
        </w:rPr>
      </w:pPr>
      <w:r w:rsidRPr="001D0BDA">
        <w:rPr>
          <w:rFonts w:ascii="Arial" w:eastAsia="Times New Roman" w:hAnsi="Arial" w:cs="Arial"/>
          <w:color w:val="000000"/>
          <w:sz w:val="16"/>
          <w:szCs w:val="16"/>
          <w:lang w:eastAsia="fr-FR"/>
        </w:rPr>
        <w:t>Exception faite des cas où il est statué sur une demande, les décisions individuelles qui doivent être motivées en application des</w:t>
      </w:r>
      <w:r w:rsidRPr="001D0BDA">
        <w:rPr>
          <w:rFonts w:ascii="Arial" w:eastAsia="Times New Roman" w:hAnsi="Arial" w:cs="Arial"/>
          <w:color w:val="000000"/>
          <w:sz w:val="16"/>
          <w:lang w:eastAsia="fr-FR"/>
        </w:rPr>
        <w:t> </w:t>
      </w:r>
      <w:hyperlink r:id="rId5" w:history="1">
        <w:r w:rsidRPr="001D0BDA">
          <w:rPr>
            <w:rFonts w:ascii="Arial" w:eastAsia="Times New Roman" w:hAnsi="Arial" w:cs="Arial"/>
            <w:color w:val="336699"/>
            <w:sz w:val="16"/>
            <w:u w:val="single"/>
            <w:lang w:eastAsia="fr-FR"/>
          </w:rPr>
          <w:t>articles 1er et 2 de la loi n° 79-587 du 11 juillet 1979</w:t>
        </w:r>
      </w:hyperlink>
      <w:r w:rsidRPr="001D0BDA">
        <w:rPr>
          <w:rFonts w:ascii="Arial" w:eastAsia="Times New Roman" w:hAnsi="Arial" w:cs="Arial"/>
          <w:color w:val="000000"/>
          <w:sz w:val="16"/>
          <w:lang w:eastAsia="fr-FR"/>
        </w:rPr>
        <w:t> </w:t>
      </w:r>
      <w:r w:rsidRPr="001D0BDA">
        <w:rPr>
          <w:rFonts w:ascii="Arial" w:eastAsia="Times New Roman" w:hAnsi="Arial" w:cs="Arial"/>
          <w:color w:val="000000"/>
          <w:sz w:val="16"/>
          <w:szCs w:val="16"/>
          <w:lang w:eastAsia="fr-FR"/>
        </w:rPr>
        <w:t>relative à la motivation des actes administratifs et à l'amélioration des relations entre l'administration et le public n'interviennent qu'après que la personne intéressée a été mise à même de présenter des observations écrites et, le cas échéant, sur sa demande, des observations orales. Cette personne peut se faire assister par un conseil ou représenter par un mandataire de son choix. L'autorité administrative n'est pas tenue de satisfaire les demandes d'audition abusives, notamment par leur nombre, leur caractère répétitif ou systématique.</w:t>
      </w:r>
    </w:p>
    <w:p w:rsidR="001D0BDA" w:rsidRPr="001D0BDA" w:rsidRDefault="001D0BDA" w:rsidP="001D0BDA">
      <w:pPr>
        <w:shd w:val="clear" w:color="auto" w:fill="FFFFFF"/>
        <w:spacing w:after="0" w:line="196" w:lineRule="atLeast"/>
        <w:rPr>
          <w:rFonts w:ascii="Arial" w:eastAsia="Times New Roman" w:hAnsi="Arial" w:cs="Arial"/>
          <w:color w:val="000000"/>
          <w:sz w:val="16"/>
          <w:szCs w:val="16"/>
          <w:lang w:eastAsia="fr-FR"/>
        </w:rPr>
      </w:pPr>
      <w:r w:rsidRPr="001D0BDA">
        <w:rPr>
          <w:rFonts w:ascii="Arial" w:eastAsia="Times New Roman" w:hAnsi="Arial" w:cs="Arial"/>
          <w:color w:val="000000"/>
          <w:sz w:val="16"/>
          <w:szCs w:val="16"/>
          <w:lang w:eastAsia="fr-FR"/>
        </w:rPr>
        <w:t>Les dispositions de l'alinéa précédent ne sont pas applicables :</w:t>
      </w:r>
    </w:p>
    <w:p w:rsidR="001D0BDA" w:rsidRPr="001D0BDA" w:rsidRDefault="001D0BDA" w:rsidP="001D0BDA">
      <w:pPr>
        <w:shd w:val="clear" w:color="auto" w:fill="FFFFFF"/>
        <w:spacing w:after="0" w:line="196" w:lineRule="atLeast"/>
        <w:rPr>
          <w:rFonts w:ascii="Arial" w:eastAsia="Times New Roman" w:hAnsi="Arial" w:cs="Arial"/>
          <w:color w:val="000000"/>
          <w:sz w:val="16"/>
          <w:szCs w:val="16"/>
          <w:lang w:eastAsia="fr-FR"/>
        </w:rPr>
      </w:pPr>
      <w:r w:rsidRPr="001D0BDA">
        <w:rPr>
          <w:rFonts w:ascii="Arial" w:eastAsia="Times New Roman" w:hAnsi="Arial" w:cs="Arial"/>
          <w:color w:val="000000"/>
          <w:sz w:val="16"/>
          <w:szCs w:val="16"/>
          <w:lang w:eastAsia="fr-FR"/>
        </w:rPr>
        <w:t>1° En cas d'urgence ou de circonstances exceptionnelles ;</w:t>
      </w:r>
    </w:p>
    <w:p w:rsidR="001D0BDA" w:rsidRPr="001D0BDA" w:rsidRDefault="001D0BDA" w:rsidP="001D0BDA">
      <w:pPr>
        <w:shd w:val="clear" w:color="auto" w:fill="FFFFFF"/>
        <w:spacing w:after="0" w:line="196" w:lineRule="atLeast"/>
        <w:rPr>
          <w:rFonts w:ascii="Arial" w:eastAsia="Times New Roman" w:hAnsi="Arial" w:cs="Arial"/>
          <w:color w:val="000000"/>
          <w:sz w:val="16"/>
          <w:szCs w:val="16"/>
          <w:lang w:eastAsia="fr-FR"/>
        </w:rPr>
      </w:pPr>
      <w:r w:rsidRPr="001D0BDA">
        <w:rPr>
          <w:rFonts w:ascii="Arial" w:eastAsia="Times New Roman" w:hAnsi="Arial" w:cs="Arial"/>
          <w:color w:val="000000"/>
          <w:sz w:val="16"/>
          <w:szCs w:val="16"/>
          <w:lang w:eastAsia="fr-FR"/>
        </w:rPr>
        <w:t xml:space="preserve">2° Lorsque leur mise en </w:t>
      </w:r>
      <w:proofErr w:type="spellStart"/>
      <w:r w:rsidRPr="001D0BDA">
        <w:rPr>
          <w:rFonts w:ascii="Arial" w:eastAsia="Times New Roman" w:hAnsi="Arial" w:cs="Arial"/>
          <w:color w:val="000000"/>
          <w:sz w:val="16"/>
          <w:szCs w:val="16"/>
          <w:lang w:eastAsia="fr-FR"/>
        </w:rPr>
        <w:t>oeuvre</w:t>
      </w:r>
      <w:proofErr w:type="spellEnd"/>
      <w:r w:rsidRPr="001D0BDA">
        <w:rPr>
          <w:rFonts w:ascii="Arial" w:eastAsia="Times New Roman" w:hAnsi="Arial" w:cs="Arial"/>
          <w:color w:val="000000"/>
          <w:sz w:val="16"/>
          <w:szCs w:val="16"/>
          <w:lang w:eastAsia="fr-FR"/>
        </w:rPr>
        <w:t xml:space="preserve"> serait de nature à compromettre l'ordre public ou la conduite des relations internationales ;</w:t>
      </w:r>
    </w:p>
    <w:p w:rsidR="001D0BDA" w:rsidRPr="001D0BDA" w:rsidRDefault="001D0BDA" w:rsidP="001D0BDA">
      <w:pPr>
        <w:shd w:val="clear" w:color="auto" w:fill="FFFFFF"/>
        <w:spacing w:after="0" w:line="196" w:lineRule="atLeast"/>
        <w:rPr>
          <w:rFonts w:ascii="Arial" w:eastAsia="Times New Roman" w:hAnsi="Arial" w:cs="Arial"/>
          <w:color w:val="000000"/>
          <w:sz w:val="16"/>
          <w:szCs w:val="16"/>
          <w:lang w:eastAsia="fr-FR"/>
        </w:rPr>
      </w:pPr>
      <w:r w:rsidRPr="001D0BDA">
        <w:rPr>
          <w:rFonts w:ascii="Arial" w:eastAsia="Times New Roman" w:hAnsi="Arial" w:cs="Arial"/>
          <w:color w:val="000000"/>
          <w:sz w:val="16"/>
          <w:szCs w:val="16"/>
          <w:lang w:eastAsia="fr-FR"/>
        </w:rPr>
        <w:t>3° Aux décisions pour lesquelles des dispositions législatives ont instauré une procédure contradictoire particulière.</w:t>
      </w:r>
    </w:p>
    <w:p w:rsidR="001D0BDA" w:rsidRPr="001D0BDA" w:rsidRDefault="001D0BDA" w:rsidP="001D0BDA">
      <w:pPr>
        <w:shd w:val="clear" w:color="auto" w:fill="FFFFFF"/>
        <w:spacing w:after="0" w:line="196" w:lineRule="atLeast"/>
        <w:rPr>
          <w:rFonts w:ascii="Arial" w:eastAsia="Times New Roman" w:hAnsi="Arial" w:cs="Arial"/>
          <w:color w:val="000000"/>
          <w:sz w:val="16"/>
          <w:szCs w:val="16"/>
          <w:lang w:eastAsia="fr-FR"/>
        </w:rPr>
      </w:pPr>
      <w:r w:rsidRPr="001D0BDA">
        <w:rPr>
          <w:rFonts w:ascii="Arial" w:eastAsia="Times New Roman" w:hAnsi="Arial" w:cs="Arial"/>
          <w:color w:val="000000"/>
          <w:sz w:val="16"/>
          <w:szCs w:val="16"/>
          <w:lang w:eastAsia="fr-FR"/>
        </w:rPr>
        <w:t>Les modalités d'application du présent article sont fixées en tant que de besoin par décret en Conseil d'Etat.</w:t>
      </w:r>
    </w:p>
    <w:p w:rsidR="00D56FA9" w:rsidRDefault="00D56FA9"/>
    <w:sectPr w:rsidR="00D56FA9" w:rsidSect="00D56FA9">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E0002AE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18"/>
  <w:proofState w:spelling="clean" w:grammar="clean"/>
  <w:defaultTabStop w:val="708"/>
  <w:hyphenationZone w:val="425"/>
  <w:characterSpacingControl w:val="doNotCompress"/>
  <w:compat/>
  <w:rsids>
    <w:rsidRoot w:val="001D0BDA"/>
    <w:rsid w:val="001D0BDA"/>
    <w:rsid w:val="00D56FA9"/>
  </w:rsids>
  <m:mathPr>
    <m:mathFont m:val="Cambria Math"/>
    <m:brkBin m:val="before"/>
    <m:brkBinSub m:val="--"/>
    <m:smallFrac m:val="off"/>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56FA9"/>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apple-converted-space">
    <w:name w:val="apple-converted-space"/>
    <w:basedOn w:val="Policepardfaut"/>
    <w:rsid w:val="001D0BDA"/>
  </w:style>
  <w:style w:type="character" w:styleId="Lienhypertexte">
    <w:name w:val="Hyperlink"/>
    <w:basedOn w:val="Policepardfaut"/>
    <w:uiPriority w:val="99"/>
    <w:semiHidden/>
    <w:unhideWhenUsed/>
    <w:rsid w:val="001D0BDA"/>
    <w:rPr>
      <w:color w:val="0000FF"/>
      <w:u w:val="single"/>
    </w:rPr>
  </w:style>
  <w:style w:type="paragraph" w:styleId="NormalWeb">
    <w:name w:val="Normal (Web)"/>
    <w:basedOn w:val="Normal"/>
    <w:uiPriority w:val="99"/>
    <w:semiHidden/>
    <w:unhideWhenUsed/>
    <w:rsid w:val="001D0BDA"/>
    <w:pPr>
      <w:spacing w:before="100" w:beforeAutospacing="1" w:after="100" w:afterAutospacing="1" w:line="240" w:lineRule="auto"/>
    </w:pPr>
    <w:rPr>
      <w:rFonts w:ascii="Times New Roman" w:eastAsia="Times New Roman" w:hAnsi="Times New Roman" w:cs="Times New Roman"/>
      <w:sz w:val="24"/>
      <w:szCs w:val="24"/>
      <w:lang w:eastAsia="fr-FR"/>
    </w:rPr>
  </w:style>
</w:styles>
</file>

<file path=word/webSettings.xml><?xml version="1.0" encoding="utf-8"?>
<w:webSettings xmlns:r="http://schemas.openxmlformats.org/officeDocument/2006/relationships" xmlns:w="http://schemas.openxmlformats.org/wordprocessingml/2006/main">
  <w:divs>
    <w:div w:id="5395604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legifrance.gouv.fr/affichTexteArticle.do;jsessionid=2A90DAC331D88FBBA13227BE1B3DF7BE.tpdjo17v_1&amp;dateTexte=?cidTexte=JORFTEXT000000518372&amp;idArticle=JORFARTI000001309995&amp;categorieLien=cid" TargetMode="External"/><Relationship Id="rId4" Type="http://schemas.openxmlformats.org/officeDocument/2006/relationships/hyperlink" Target="http://www.legifrance.gouv.fr/affichTexteArticle.do;jsessionid=2A90DAC331D88FBBA13227BE1B3DF7BE.tpdjo17v_1?idArticle=LEGIARTI000006529215&amp;cidTexte=LEGITEXT000005629288&amp;dateTexte=20150201"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263</Words>
  <Characters>1450</Characters>
  <Application>Microsoft Office Word</Application>
  <DocSecurity>0</DocSecurity>
  <Lines>12</Lines>
  <Paragraphs>3</Paragraphs>
  <ScaleCrop>false</ScaleCrop>
  <Company/>
  <LinksUpToDate>false</LinksUpToDate>
  <CharactersWithSpaces>1710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margot</dc:creator>
  <cp:lastModifiedBy>margot</cp:lastModifiedBy>
  <cp:revision>1</cp:revision>
  <dcterms:created xsi:type="dcterms:W3CDTF">2015-02-01T16:45:00Z</dcterms:created>
  <dcterms:modified xsi:type="dcterms:W3CDTF">2015-02-01T16:46:00Z</dcterms:modified>
</cp:coreProperties>
</file>