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ACD" w:rsidRPr="009930B5" w:rsidRDefault="00024ACD" w:rsidP="009930B5">
      <w:pPr>
        <w:jc w:val="center"/>
        <w:rPr>
          <w:b/>
          <w:bCs/>
          <w:i/>
          <w:iCs/>
          <w:sz w:val="32"/>
          <w:szCs w:val="32"/>
        </w:rPr>
      </w:pPr>
      <w:r w:rsidRPr="009930B5">
        <w:rPr>
          <w:b/>
          <w:bCs/>
          <w:i/>
          <w:iCs/>
          <w:sz w:val="32"/>
          <w:szCs w:val="32"/>
        </w:rPr>
        <w:t>PROJET DE DÉLIBÉRATION</w:t>
      </w:r>
    </w:p>
    <w:p w:rsidR="00024ACD" w:rsidRDefault="00024ACD" w:rsidP="009930B5">
      <w:pPr>
        <w:spacing w:after="0" w:line="240" w:lineRule="auto"/>
        <w:jc w:val="center"/>
        <w:rPr>
          <w:sz w:val="24"/>
          <w:szCs w:val="24"/>
        </w:rPr>
      </w:pPr>
    </w:p>
    <w:p w:rsidR="00024ACD" w:rsidRDefault="00024ACD" w:rsidP="009B38FE">
      <w:pPr>
        <w:spacing w:after="0" w:line="240" w:lineRule="auto"/>
        <w:jc w:val="both"/>
        <w:rPr>
          <w:rFonts w:ascii="Trebuchet MS" w:hAnsi="Trebuchet MS" w:cs="Trebuchet MS"/>
          <w:sz w:val="20"/>
          <w:szCs w:val="20"/>
        </w:rPr>
      </w:pPr>
      <w:r>
        <w:rPr>
          <w:rFonts w:ascii="Trebuchet MS" w:hAnsi="Trebuchet MS" w:cs="Trebuchet MS"/>
          <w:sz w:val="20"/>
          <w:szCs w:val="20"/>
        </w:rPr>
        <w:t>Le Centre de Gestion de la Fonction Publique Territoriale propose, avec son service Emploi, d’accompagner les collectivités qui le souhaitent dans le cadre de deux missions :</w:t>
      </w:r>
    </w:p>
    <w:p w:rsidR="00024ACD" w:rsidRDefault="00024ACD" w:rsidP="009B38FE">
      <w:pPr>
        <w:spacing w:after="0" w:line="240" w:lineRule="auto"/>
        <w:jc w:val="both"/>
        <w:rPr>
          <w:rFonts w:ascii="Trebuchet MS" w:hAnsi="Trebuchet MS" w:cs="Trebuchet MS"/>
          <w:sz w:val="20"/>
          <w:szCs w:val="20"/>
        </w:rPr>
      </w:pPr>
    </w:p>
    <w:p w:rsidR="00024ACD" w:rsidRDefault="00024ACD" w:rsidP="009B38FE">
      <w:pPr>
        <w:pStyle w:val="ListParagraph"/>
        <w:numPr>
          <w:ilvl w:val="0"/>
          <w:numId w:val="1"/>
        </w:numPr>
        <w:tabs>
          <w:tab w:val="left" w:pos="-6303"/>
        </w:tabs>
        <w:suppressAutoHyphens w:val="0"/>
        <w:jc w:val="both"/>
        <w:rPr>
          <w:rFonts w:ascii="Trebuchet MS" w:hAnsi="Trebuchet MS" w:cs="Trebuchet MS"/>
        </w:rPr>
      </w:pPr>
      <w:r>
        <w:rPr>
          <w:rFonts w:ascii="Trebuchet MS" w:hAnsi="Trebuchet MS" w:cs="Trebuchet MS"/>
        </w:rPr>
        <w:t>L’aide au recrutement d’agents contractuels ou titulaires employés directement par la collectivité ;</w:t>
      </w:r>
    </w:p>
    <w:p w:rsidR="00024ACD" w:rsidRDefault="00024ACD" w:rsidP="009B38FE">
      <w:pPr>
        <w:pStyle w:val="ListParagraph"/>
        <w:tabs>
          <w:tab w:val="left" w:pos="-6303"/>
        </w:tabs>
        <w:suppressAutoHyphens w:val="0"/>
        <w:ind w:left="1068"/>
        <w:jc w:val="both"/>
        <w:rPr>
          <w:rFonts w:ascii="Trebuchet MS" w:hAnsi="Trebuchet MS" w:cs="Trebuchet MS"/>
        </w:rPr>
      </w:pPr>
    </w:p>
    <w:p w:rsidR="00024ACD" w:rsidRDefault="00024ACD" w:rsidP="009B38FE">
      <w:pPr>
        <w:pStyle w:val="ListParagraph"/>
        <w:numPr>
          <w:ilvl w:val="0"/>
          <w:numId w:val="2"/>
        </w:numPr>
        <w:tabs>
          <w:tab w:val="left" w:pos="-6326"/>
        </w:tabs>
        <w:suppressAutoHyphens w:val="0"/>
        <w:jc w:val="both"/>
        <w:rPr>
          <w:rFonts w:ascii="Trebuchet MS" w:hAnsi="Trebuchet MS" w:cs="Trebuchet MS"/>
        </w:rPr>
      </w:pPr>
      <w:r>
        <w:rPr>
          <w:rFonts w:ascii="Trebuchet MS" w:hAnsi="Trebuchet MS" w:cs="Trebuchet MS"/>
        </w:rPr>
        <w:t>La recherche de candidats et le portage de contrats :</w:t>
      </w:r>
    </w:p>
    <w:p w:rsidR="00024ACD" w:rsidRDefault="00024ACD" w:rsidP="009B38FE">
      <w:pPr>
        <w:numPr>
          <w:ilvl w:val="1"/>
          <w:numId w:val="2"/>
        </w:numPr>
        <w:tabs>
          <w:tab w:val="left" w:pos="-31680"/>
        </w:tabs>
        <w:autoSpaceDN w:val="0"/>
        <w:spacing w:after="0" w:line="240" w:lineRule="auto"/>
        <w:jc w:val="both"/>
        <w:rPr>
          <w:rFonts w:ascii="Trebuchet MS" w:hAnsi="Trebuchet MS" w:cs="Trebuchet MS"/>
          <w:sz w:val="20"/>
          <w:szCs w:val="20"/>
        </w:rPr>
      </w:pPr>
      <w:r>
        <w:rPr>
          <w:rFonts w:ascii="Trebuchet MS" w:hAnsi="Trebuchet MS" w:cs="Trebuchet MS"/>
          <w:sz w:val="20"/>
          <w:szCs w:val="20"/>
        </w:rPr>
        <w:t>pour assurer le remplacement d’agents momentanément indisponibles,</w:t>
      </w:r>
    </w:p>
    <w:p w:rsidR="00024ACD" w:rsidRDefault="00024ACD" w:rsidP="009B38FE">
      <w:pPr>
        <w:numPr>
          <w:ilvl w:val="1"/>
          <w:numId w:val="2"/>
        </w:numPr>
        <w:tabs>
          <w:tab w:val="left" w:pos="-31680"/>
        </w:tabs>
        <w:autoSpaceDN w:val="0"/>
        <w:spacing w:after="0" w:line="240" w:lineRule="auto"/>
        <w:jc w:val="both"/>
        <w:rPr>
          <w:rFonts w:ascii="Trebuchet MS" w:hAnsi="Trebuchet MS" w:cs="Trebuchet MS"/>
          <w:sz w:val="20"/>
          <w:szCs w:val="20"/>
        </w:rPr>
      </w:pPr>
      <w:r>
        <w:rPr>
          <w:rFonts w:ascii="Trebuchet MS" w:hAnsi="Trebuchet MS" w:cs="Trebuchet MS"/>
          <w:sz w:val="20"/>
          <w:szCs w:val="20"/>
        </w:rPr>
        <w:t>pour apporter un renfort dans le cadre d’un accroissement temporaire ou saisonnier d’activité,</w:t>
      </w:r>
    </w:p>
    <w:p w:rsidR="00024ACD" w:rsidRDefault="00024ACD" w:rsidP="009B38FE">
      <w:pPr>
        <w:numPr>
          <w:ilvl w:val="1"/>
          <w:numId w:val="2"/>
        </w:numPr>
        <w:tabs>
          <w:tab w:val="left" w:pos="-31680"/>
        </w:tabs>
        <w:autoSpaceDN w:val="0"/>
        <w:spacing w:after="0" w:line="240" w:lineRule="auto"/>
        <w:jc w:val="both"/>
        <w:rPr>
          <w:rFonts w:ascii="Trebuchet MS" w:hAnsi="Trebuchet MS" w:cs="Trebuchet MS"/>
          <w:sz w:val="20"/>
          <w:szCs w:val="20"/>
        </w:rPr>
      </w:pPr>
      <w:r>
        <w:rPr>
          <w:rFonts w:ascii="Trebuchet MS" w:hAnsi="Trebuchet MS" w:cs="Trebuchet MS"/>
          <w:sz w:val="20"/>
          <w:szCs w:val="20"/>
        </w:rPr>
        <w:t>pour pourvoir la vacance temporaire d’un emploi permanent dans l’attente du recrutement d’un fonctionnaire</w:t>
      </w:r>
    </w:p>
    <w:p w:rsidR="00024ACD" w:rsidRDefault="00024ACD" w:rsidP="009B38FE">
      <w:pPr>
        <w:numPr>
          <w:ilvl w:val="1"/>
          <w:numId w:val="2"/>
        </w:numPr>
        <w:tabs>
          <w:tab w:val="left" w:pos="-31680"/>
        </w:tabs>
        <w:autoSpaceDN w:val="0"/>
        <w:spacing w:after="0" w:line="240" w:lineRule="auto"/>
        <w:jc w:val="both"/>
        <w:rPr>
          <w:rFonts w:ascii="Trebuchet MS" w:hAnsi="Trebuchet MS" w:cs="Trebuchet MS"/>
          <w:sz w:val="20"/>
          <w:szCs w:val="20"/>
        </w:rPr>
      </w:pPr>
      <w:r>
        <w:rPr>
          <w:rFonts w:ascii="Trebuchet MS" w:hAnsi="Trebuchet MS" w:cs="Trebuchet MS"/>
          <w:sz w:val="20"/>
          <w:szCs w:val="20"/>
        </w:rPr>
        <w:t>pour des missions permanentes à temps complet ou non-complet lorsque le poste peut-être pourvu par un contractuel (dans la limite de 6 années).</w:t>
      </w:r>
    </w:p>
    <w:p w:rsidR="00024ACD" w:rsidRDefault="00024ACD" w:rsidP="009930B5">
      <w:pPr>
        <w:spacing w:after="0" w:line="240" w:lineRule="auto"/>
        <w:jc w:val="both"/>
        <w:rPr>
          <w:rFonts w:ascii="Trebuchet MS" w:hAnsi="Trebuchet MS" w:cs="Trebuchet MS"/>
          <w:sz w:val="20"/>
          <w:szCs w:val="20"/>
        </w:rPr>
      </w:pPr>
    </w:p>
    <w:p w:rsidR="00024ACD" w:rsidRDefault="00024ACD" w:rsidP="009930B5">
      <w:pPr>
        <w:spacing w:after="0" w:line="240" w:lineRule="auto"/>
        <w:jc w:val="both"/>
        <w:rPr>
          <w:rFonts w:ascii="Trebuchet MS" w:hAnsi="Trebuchet MS" w:cs="Trebuchet MS"/>
          <w:sz w:val="20"/>
          <w:szCs w:val="20"/>
        </w:rPr>
      </w:pPr>
      <w:r>
        <w:rPr>
          <w:rFonts w:ascii="Trebuchet MS" w:hAnsi="Trebuchet MS" w:cs="Trebuchet MS"/>
          <w:sz w:val="20"/>
          <w:szCs w:val="20"/>
        </w:rPr>
        <w:t>Si la loi du 6 août 2019 de Transformation de la Fonction Publique a étendu les possibilités de recours aux agents contractuels, elle a parallèlement imposé un certain formaliste procédural par son décret d’application du 19 décembre 2019 qui vise à garantir le respect du principe de l’égal accès aux emplois publics et l’absence de discriminations.</w:t>
      </w:r>
    </w:p>
    <w:p w:rsidR="00024ACD" w:rsidRDefault="00024ACD" w:rsidP="009930B5">
      <w:pPr>
        <w:spacing w:after="0" w:line="240" w:lineRule="auto"/>
        <w:jc w:val="both"/>
        <w:rPr>
          <w:rFonts w:ascii="Trebuchet MS" w:hAnsi="Trebuchet MS" w:cs="Trebuchet MS"/>
          <w:sz w:val="20"/>
          <w:szCs w:val="20"/>
        </w:rPr>
      </w:pPr>
    </w:p>
    <w:p w:rsidR="00024ACD" w:rsidRDefault="00024ACD" w:rsidP="009930B5">
      <w:pPr>
        <w:spacing w:after="0" w:line="240" w:lineRule="auto"/>
        <w:jc w:val="both"/>
        <w:rPr>
          <w:rFonts w:ascii="Trebuchet MS" w:hAnsi="Trebuchet MS" w:cs="Trebuchet MS"/>
          <w:sz w:val="20"/>
          <w:szCs w:val="20"/>
        </w:rPr>
      </w:pPr>
      <w:r>
        <w:rPr>
          <w:rFonts w:ascii="Trebuchet MS" w:hAnsi="Trebuchet MS" w:cs="Trebuchet MS"/>
          <w:sz w:val="20"/>
          <w:szCs w:val="20"/>
        </w:rPr>
        <w:t>En outre, le Centre de Gestion fait vivre une base de données de candidats aux divers métiers de la fonction publique territoriale afin de mieux cibler les compétences attendues lors des remplacements ou renforts sollicités par les collectivités adhérentes et élargir les profils proposés.</w:t>
      </w:r>
    </w:p>
    <w:p w:rsidR="00024ACD" w:rsidRDefault="00024ACD" w:rsidP="009930B5">
      <w:pPr>
        <w:spacing w:after="0" w:line="240" w:lineRule="auto"/>
        <w:jc w:val="both"/>
        <w:rPr>
          <w:rFonts w:ascii="Trebuchet MS" w:hAnsi="Trebuchet MS" w:cs="Trebuchet MS"/>
          <w:sz w:val="20"/>
          <w:szCs w:val="20"/>
        </w:rPr>
      </w:pPr>
    </w:p>
    <w:p w:rsidR="00024ACD" w:rsidRDefault="00024ACD" w:rsidP="009930B5">
      <w:pPr>
        <w:spacing w:after="0" w:line="240" w:lineRule="auto"/>
        <w:jc w:val="both"/>
        <w:rPr>
          <w:rFonts w:ascii="Trebuchet MS" w:hAnsi="Trebuchet MS" w:cs="Trebuchet MS"/>
          <w:sz w:val="20"/>
          <w:szCs w:val="20"/>
        </w:rPr>
      </w:pPr>
      <w:r>
        <w:rPr>
          <w:rFonts w:ascii="Trebuchet MS" w:hAnsi="Trebuchet MS" w:cs="Trebuchet MS"/>
          <w:sz w:val="20"/>
          <w:szCs w:val="20"/>
        </w:rPr>
        <w:t xml:space="preserve">Pour ce faire, </w:t>
      </w:r>
      <w:r w:rsidRPr="009B38FE">
        <w:rPr>
          <w:rFonts w:ascii="Trebuchet MS" w:hAnsi="Trebuchet MS" w:cs="Trebuchet MS"/>
          <w:sz w:val="20"/>
          <w:szCs w:val="20"/>
        </w:rPr>
        <w:t>une nouvelle convention de service est proposée à partir du 1</w:t>
      </w:r>
      <w:r w:rsidRPr="009B38FE">
        <w:rPr>
          <w:rFonts w:ascii="Trebuchet MS" w:hAnsi="Trebuchet MS" w:cs="Trebuchet MS"/>
          <w:sz w:val="20"/>
          <w:szCs w:val="20"/>
          <w:vertAlign w:val="superscript"/>
        </w:rPr>
        <w:t>er</w:t>
      </w:r>
      <w:r w:rsidRPr="009B38FE">
        <w:rPr>
          <w:rFonts w:ascii="Trebuchet MS" w:hAnsi="Trebuchet MS" w:cs="Trebuchet MS"/>
          <w:sz w:val="20"/>
          <w:szCs w:val="20"/>
        </w:rPr>
        <w:t xml:space="preserve"> janvier 2021,</w:t>
      </w:r>
      <w:r>
        <w:rPr>
          <w:rFonts w:ascii="Trebuchet MS" w:hAnsi="Trebuchet MS" w:cs="Trebuchet MS"/>
          <w:sz w:val="20"/>
          <w:szCs w:val="20"/>
        </w:rPr>
        <w:t xml:space="preserve"> en application des dispositions des articles 23 et 25 de la loi n°84-53 du 26 janvier 1984 modifiée.</w:t>
      </w:r>
    </w:p>
    <w:p w:rsidR="00024ACD" w:rsidRDefault="00024ACD" w:rsidP="009930B5">
      <w:pPr>
        <w:spacing w:after="0" w:line="240" w:lineRule="auto"/>
        <w:jc w:val="both"/>
        <w:rPr>
          <w:rFonts w:ascii="Verdana" w:hAnsi="Verdana" w:cs="Verdana"/>
          <w:sz w:val="24"/>
          <w:szCs w:val="24"/>
        </w:rPr>
      </w:pPr>
      <w:r>
        <w:rPr>
          <w:rFonts w:ascii="Trebuchet MS" w:hAnsi="Trebuchet MS" w:cs="Trebuchet MS"/>
          <w:sz w:val="20"/>
          <w:szCs w:val="20"/>
        </w:rPr>
        <w:t>Elle remplace les conventions « Intérim » et « S.M.I. » qui sont résiliées et prennent fin.</w:t>
      </w:r>
    </w:p>
    <w:p w:rsidR="00024ACD" w:rsidRDefault="00024ACD" w:rsidP="009930B5">
      <w:pPr>
        <w:spacing w:after="0" w:line="240" w:lineRule="auto"/>
        <w:jc w:val="both"/>
        <w:rPr>
          <w:rFonts w:ascii="Trebuchet MS" w:hAnsi="Trebuchet MS" w:cs="Trebuchet MS"/>
          <w:sz w:val="20"/>
          <w:szCs w:val="20"/>
        </w:rPr>
      </w:pPr>
    </w:p>
    <w:p w:rsidR="00024ACD" w:rsidRDefault="00024ACD" w:rsidP="009930B5">
      <w:pPr>
        <w:spacing w:after="0" w:line="240" w:lineRule="auto"/>
        <w:jc w:val="both"/>
        <w:rPr>
          <w:rFonts w:ascii="Trebuchet MS" w:hAnsi="Trebuchet MS" w:cs="Trebuchet MS"/>
          <w:sz w:val="20"/>
          <w:szCs w:val="20"/>
        </w:rPr>
      </w:pPr>
      <w:r>
        <w:rPr>
          <w:rFonts w:ascii="Trebuchet MS" w:hAnsi="Trebuchet MS" w:cs="Trebuchet MS"/>
          <w:sz w:val="20"/>
          <w:szCs w:val="20"/>
        </w:rPr>
        <w:t>La signature de la convention emporte adhésion au service sans que son utilisation ne soit systématique ni obligatoire pendant la durée de ladite convention.</w:t>
      </w:r>
    </w:p>
    <w:p w:rsidR="00024ACD" w:rsidRDefault="00024ACD" w:rsidP="009930B5">
      <w:pPr>
        <w:spacing w:after="0" w:line="240" w:lineRule="auto"/>
        <w:jc w:val="both"/>
        <w:rPr>
          <w:rFonts w:ascii="Trebuchet MS" w:hAnsi="Trebuchet MS" w:cs="Trebuchet MS"/>
          <w:sz w:val="20"/>
          <w:szCs w:val="20"/>
        </w:rPr>
      </w:pPr>
    </w:p>
    <w:p w:rsidR="00024ACD" w:rsidRDefault="00024ACD" w:rsidP="009930B5">
      <w:pPr>
        <w:tabs>
          <w:tab w:val="left" w:pos="1701"/>
        </w:tabs>
        <w:spacing w:after="0" w:line="240" w:lineRule="auto"/>
        <w:ind w:left="1695" w:hanging="1695"/>
        <w:jc w:val="both"/>
        <w:rPr>
          <w:rFonts w:ascii="Trebuchet MS" w:hAnsi="Trebuchet MS" w:cs="Trebuchet MS"/>
          <w:sz w:val="20"/>
          <w:szCs w:val="20"/>
        </w:rPr>
      </w:pPr>
      <w:r>
        <w:rPr>
          <w:rFonts w:ascii="Trebuchet MS" w:hAnsi="Trebuchet MS" w:cs="Trebuchet MS"/>
          <w:sz w:val="20"/>
          <w:szCs w:val="20"/>
        </w:rPr>
        <w:t>L’adhésion au service est gratuite. Les prestations sont facturées à la demande.</w:t>
      </w:r>
    </w:p>
    <w:p w:rsidR="00024ACD" w:rsidRDefault="00024ACD" w:rsidP="009930B5">
      <w:pPr>
        <w:tabs>
          <w:tab w:val="left" w:pos="1701"/>
        </w:tabs>
        <w:spacing w:after="0" w:line="240" w:lineRule="auto"/>
        <w:ind w:left="1695" w:hanging="1695"/>
        <w:jc w:val="both"/>
        <w:rPr>
          <w:rFonts w:ascii="Trebuchet MS" w:hAnsi="Trebuchet MS" w:cs="Trebuchet MS"/>
          <w:sz w:val="20"/>
          <w:szCs w:val="20"/>
        </w:rPr>
      </w:pPr>
    </w:p>
    <w:p w:rsidR="00024ACD" w:rsidRDefault="00024ACD" w:rsidP="009930B5">
      <w:pPr>
        <w:tabs>
          <w:tab w:val="left" w:pos="-31680"/>
        </w:tabs>
        <w:spacing w:after="0" w:line="240" w:lineRule="auto"/>
        <w:jc w:val="both"/>
        <w:rPr>
          <w:rFonts w:ascii="Trebuchet MS" w:hAnsi="Trebuchet MS" w:cs="Trebuchet MS"/>
          <w:sz w:val="20"/>
          <w:szCs w:val="20"/>
        </w:rPr>
      </w:pPr>
      <w:r>
        <w:rPr>
          <w:rFonts w:ascii="Trebuchet MS" w:hAnsi="Trebuchet MS" w:cs="Trebuchet MS"/>
          <w:sz w:val="20"/>
          <w:szCs w:val="20"/>
        </w:rPr>
        <w:t>Considérant que notre collectivités / établissement public est déjà utilisateur du service S.M.I et/ou Intérim proposé par le Centre de Gestion ;</w:t>
      </w:r>
    </w:p>
    <w:p w:rsidR="00024ACD" w:rsidRDefault="00024ACD" w:rsidP="009930B5">
      <w:pPr>
        <w:tabs>
          <w:tab w:val="left" w:pos="-31680"/>
        </w:tabs>
        <w:spacing w:after="0" w:line="240" w:lineRule="auto"/>
        <w:jc w:val="both"/>
        <w:rPr>
          <w:rFonts w:ascii="Trebuchet MS" w:hAnsi="Trebuchet MS" w:cs="Trebuchet MS"/>
          <w:sz w:val="20"/>
          <w:szCs w:val="20"/>
        </w:rPr>
      </w:pPr>
    </w:p>
    <w:p w:rsidR="00024ACD" w:rsidRDefault="00024ACD" w:rsidP="009930B5">
      <w:pPr>
        <w:tabs>
          <w:tab w:val="left" w:pos="-31680"/>
        </w:tabs>
        <w:spacing w:after="0" w:line="240" w:lineRule="auto"/>
        <w:jc w:val="both"/>
        <w:rPr>
          <w:rFonts w:ascii="Trebuchet MS" w:hAnsi="Trebuchet MS" w:cs="Trebuchet MS"/>
          <w:sz w:val="20"/>
          <w:szCs w:val="20"/>
        </w:rPr>
      </w:pPr>
      <w:r>
        <w:rPr>
          <w:rFonts w:ascii="Trebuchet MS" w:hAnsi="Trebuchet MS" w:cs="Trebuchet MS"/>
          <w:sz w:val="20"/>
          <w:szCs w:val="20"/>
        </w:rPr>
        <w:t>Vu le Code Général des Collectivités Territoriales ;</w:t>
      </w:r>
    </w:p>
    <w:p w:rsidR="00024ACD" w:rsidRDefault="00024ACD" w:rsidP="009930B5">
      <w:pPr>
        <w:tabs>
          <w:tab w:val="left" w:pos="-31680"/>
        </w:tabs>
        <w:spacing w:after="0" w:line="240" w:lineRule="auto"/>
        <w:jc w:val="both"/>
        <w:rPr>
          <w:rFonts w:ascii="Trebuchet MS" w:hAnsi="Trebuchet MS" w:cs="Trebuchet MS"/>
          <w:sz w:val="20"/>
          <w:szCs w:val="20"/>
        </w:rPr>
      </w:pPr>
    </w:p>
    <w:p w:rsidR="00024ACD" w:rsidRDefault="00024ACD" w:rsidP="009930B5">
      <w:pPr>
        <w:tabs>
          <w:tab w:val="left" w:pos="-31680"/>
        </w:tabs>
        <w:spacing w:after="0" w:line="240" w:lineRule="auto"/>
        <w:jc w:val="both"/>
        <w:rPr>
          <w:rFonts w:ascii="Trebuchet MS" w:hAnsi="Trebuchet MS" w:cs="Trebuchet MS"/>
          <w:sz w:val="20"/>
          <w:szCs w:val="20"/>
        </w:rPr>
      </w:pPr>
      <w:r>
        <w:rPr>
          <w:rFonts w:ascii="Trebuchet MS" w:hAnsi="Trebuchet MS" w:cs="Trebuchet MS"/>
          <w:sz w:val="20"/>
          <w:szCs w:val="20"/>
        </w:rPr>
        <w:t>Vu le projet de convention et ses annexes ;</w:t>
      </w:r>
    </w:p>
    <w:p w:rsidR="00024ACD" w:rsidRDefault="00024ACD" w:rsidP="009930B5">
      <w:pPr>
        <w:tabs>
          <w:tab w:val="left" w:pos="-31680"/>
        </w:tabs>
        <w:spacing w:after="0" w:line="240" w:lineRule="auto"/>
        <w:jc w:val="both"/>
        <w:rPr>
          <w:rFonts w:ascii="Trebuchet MS" w:hAnsi="Trebuchet MS" w:cs="Trebuchet MS"/>
          <w:sz w:val="20"/>
          <w:szCs w:val="20"/>
        </w:rPr>
      </w:pPr>
    </w:p>
    <w:p w:rsidR="00024ACD" w:rsidRDefault="00024ACD" w:rsidP="009930B5">
      <w:pPr>
        <w:tabs>
          <w:tab w:val="left" w:pos="-31680"/>
        </w:tabs>
        <w:spacing w:after="0" w:line="240" w:lineRule="auto"/>
        <w:jc w:val="both"/>
        <w:rPr>
          <w:rFonts w:ascii="Trebuchet MS" w:hAnsi="Trebuchet MS" w:cs="Trebuchet MS"/>
          <w:sz w:val="20"/>
          <w:szCs w:val="20"/>
        </w:rPr>
      </w:pPr>
      <w:r>
        <w:rPr>
          <w:rFonts w:ascii="Trebuchet MS" w:hAnsi="Trebuchet MS" w:cs="Trebuchet MS"/>
          <w:sz w:val="20"/>
          <w:szCs w:val="20"/>
        </w:rPr>
        <w:t>Après en avoir délibéré ;</w:t>
      </w:r>
    </w:p>
    <w:p w:rsidR="00024ACD" w:rsidRDefault="00024ACD" w:rsidP="009930B5">
      <w:pPr>
        <w:tabs>
          <w:tab w:val="left" w:pos="-31680"/>
        </w:tabs>
        <w:spacing w:after="0" w:line="240" w:lineRule="auto"/>
        <w:jc w:val="both"/>
        <w:rPr>
          <w:rFonts w:ascii="Trebuchet MS" w:hAnsi="Trebuchet MS" w:cs="Trebuchet MS"/>
          <w:sz w:val="20"/>
          <w:szCs w:val="20"/>
        </w:rPr>
      </w:pPr>
    </w:p>
    <w:p w:rsidR="00024ACD" w:rsidRDefault="00024ACD" w:rsidP="009930B5">
      <w:pPr>
        <w:tabs>
          <w:tab w:val="left" w:pos="-31680"/>
        </w:tabs>
        <w:spacing w:after="0" w:line="240" w:lineRule="auto"/>
        <w:jc w:val="both"/>
        <w:rPr>
          <w:rFonts w:ascii="Trebuchet MS" w:hAnsi="Trebuchet MS" w:cs="Trebuchet MS"/>
          <w:sz w:val="20"/>
          <w:szCs w:val="20"/>
        </w:rPr>
      </w:pPr>
      <w:r>
        <w:rPr>
          <w:rFonts w:ascii="Trebuchet MS" w:hAnsi="Trebuchet MS" w:cs="Trebuchet MS"/>
          <w:sz w:val="20"/>
          <w:szCs w:val="20"/>
        </w:rPr>
        <w:t>Le Conseil……………………………………… autorise M…………………………….(le Maire / le Président) à signer la convention de service « Recrutement – Remplacement – Renfort » ci-annexée, avec le Centre de Gestion de la Charente.</w:t>
      </w:r>
    </w:p>
    <w:p w:rsidR="00024ACD" w:rsidRDefault="00024ACD" w:rsidP="009930B5">
      <w:pPr>
        <w:tabs>
          <w:tab w:val="left" w:pos="-31680"/>
        </w:tabs>
        <w:spacing w:after="0" w:line="240" w:lineRule="auto"/>
        <w:jc w:val="both"/>
        <w:rPr>
          <w:rFonts w:ascii="Trebuchet MS" w:hAnsi="Trebuchet MS" w:cs="Trebuchet MS"/>
          <w:sz w:val="20"/>
          <w:szCs w:val="20"/>
        </w:rPr>
      </w:pPr>
    </w:p>
    <w:p w:rsidR="00024ACD" w:rsidRDefault="00024ACD" w:rsidP="009930B5">
      <w:pPr>
        <w:tabs>
          <w:tab w:val="left" w:pos="-31680"/>
        </w:tabs>
        <w:spacing w:after="0" w:line="240" w:lineRule="auto"/>
        <w:jc w:val="both"/>
        <w:rPr>
          <w:rFonts w:ascii="Trebuchet MS" w:hAnsi="Trebuchet MS" w:cs="Trebuchet MS"/>
          <w:sz w:val="20"/>
          <w:szCs w:val="20"/>
        </w:rPr>
      </w:pPr>
      <w:r>
        <w:rPr>
          <w:rFonts w:ascii="Trebuchet MS" w:hAnsi="Trebuchet MS" w:cs="Trebuchet MS"/>
          <w:sz w:val="20"/>
          <w:szCs w:val="20"/>
        </w:rPr>
        <w:t>Adopte à l’unanimité / à la majorité</w:t>
      </w:r>
    </w:p>
    <w:p w:rsidR="00024ACD" w:rsidRPr="009930B5" w:rsidRDefault="00024ACD" w:rsidP="009930B5">
      <w:pPr>
        <w:spacing w:after="0" w:line="240" w:lineRule="auto"/>
      </w:pPr>
    </w:p>
    <w:p w:rsidR="00024ACD" w:rsidRPr="009930B5" w:rsidRDefault="00024ACD" w:rsidP="009930B5">
      <w:pPr>
        <w:spacing w:after="0" w:line="240" w:lineRule="auto"/>
        <w:jc w:val="center"/>
        <w:rPr>
          <w:sz w:val="24"/>
          <w:szCs w:val="24"/>
        </w:rPr>
      </w:pPr>
    </w:p>
    <w:sectPr w:rsidR="00024ACD" w:rsidRPr="009930B5" w:rsidSect="000F657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3442C7"/>
    <w:multiLevelType w:val="multilevel"/>
    <w:tmpl w:val="3384A7B0"/>
    <w:lvl w:ilvl="0">
      <w:numFmt w:val="bullet"/>
      <w:lvlText w:val="-"/>
      <w:lvlJc w:val="left"/>
      <w:pPr>
        <w:ind w:left="1069" w:hanging="360"/>
      </w:pPr>
      <w:rPr>
        <w:rFonts w:ascii="Times New Roman" w:eastAsia="Times New Roman" w:hAnsi="Times New Roman"/>
      </w:rPr>
    </w:lvl>
    <w:lvl w:ilvl="1">
      <w:numFmt w:val="bullet"/>
      <w:lvlText w:val="o"/>
      <w:lvlJc w:val="left"/>
      <w:pPr>
        <w:ind w:left="1789" w:hanging="360"/>
      </w:pPr>
      <w:rPr>
        <w:rFonts w:ascii="Courier New" w:hAnsi="Courier New"/>
      </w:rPr>
    </w:lvl>
    <w:lvl w:ilvl="2">
      <w:numFmt w:val="bullet"/>
      <w:lvlText w:val=""/>
      <w:lvlJc w:val="left"/>
      <w:pPr>
        <w:ind w:left="2509" w:hanging="360"/>
      </w:pPr>
      <w:rPr>
        <w:rFonts w:ascii="Wingdings" w:hAnsi="Wingdings" w:cs="Wingdings"/>
      </w:rPr>
    </w:lvl>
    <w:lvl w:ilvl="3">
      <w:numFmt w:val="bullet"/>
      <w:lvlText w:val=""/>
      <w:lvlJc w:val="left"/>
      <w:pPr>
        <w:ind w:left="3229" w:hanging="360"/>
      </w:pPr>
      <w:rPr>
        <w:rFonts w:ascii="Symbol" w:hAnsi="Symbol" w:cs="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cs="Wingdings"/>
      </w:rPr>
    </w:lvl>
    <w:lvl w:ilvl="6">
      <w:numFmt w:val="bullet"/>
      <w:lvlText w:val=""/>
      <w:lvlJc w:val="left"/>
      <w:pPr>
        <w:ind w:left="5389" w:hanging="360"/>
      </w:pPr>
      <w:rPr>
        <w:rFonts w:ascii="Symbol" w:hAnsi="Symbol" w:cs="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cs="Wingdings"/>
      </w:rPr>
    </w:lvl>
  </w:abstractNum>
  <w:abstractNum w:abstractNumId="1">
    <w:nsid w:val="4F6D4C00"/>
    <w:multiLevelType w:val="multilevel"/>
    <w:tmpl w:val="A8204ED8"/>
    <w:lvl w:ilvl="0">
      <w:numFmt w:val="bullet"/>
      <w:lvlText w:val="-"/>
      <w:lvlJc w:val="left"/>
      <w:pPr>
        <w:ind w:left="1068" w:hanging="360"/>
      </w:pPr>
      <w:rPr>
        <w:rFonts w:ascii="Times New Roman" w:eastAsia="Times New Roman" w:hAnsi="Times New Roman"/>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Times New Roman" w:eastAsia="Times New Roman" w:hAnsi="Times New Roman"/>
      </w:rPr>
    </w:lvl>
    <w:lvl w:ilvl="3">
      <w:numFmt w:val="bullet"/>
      <w:lvlText w:val=""/>
      <w:lvlJc w:val="left"/>
      <w:pPr>
        <w:ind w:left="3228" w:hanging="360"/>
      </w:pPr>
      <w:rPr>
        <w:rFonts w:ascii="Symbol" w:hAnsi="Symbol" w:cs="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cs="Wingdings"/>
      </w:rPr>
    </w:lvl>
    <w:lvl w:ilvl="6">
      <w:numFmt w:val="bullet"/>
      <w:lvlText w:val=""/>
      <w:lvlJc w:val="left"/>
      <w:pPr>
        <w:ind w:left="5388" w:hanging="360"/>
      </w:pPr>
      <w:rPr>
        <w:rFonts w:ascii="Symbol" w:hAnsi="Symbol" w:cs="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cs="Wingdings"/>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930B5"/>
    <w:rsid w:val="00024ACD"/>
    <w:rsid w:val="000F657A"/>
    <w:rsid w:val="00211D68"/>
    <w:rsid w:val="005D6395"/>
    <w:rsid w:val="009930B5"/>
    <w:rsid w:val="009B38FE"/>
    <w:rsid w:val="00B946FB"/>
    <w:rsid w:val="00FF0651"/>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57A"/>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9930B5"/>
    <w:rPr>
      <w:color w:val="auto"/>
      <w:u w:val="single"/>
    </w:rPr>
  </w:style>
  <w:style w:type="paragraph" w:styleId="ListParagraph">
    <w:name w:val="List Paragraph"/>
    <w:basedOn w:val="Normal"/>
    <w:uiPriority w:val="99"/>
    <w:qFormat/>
    <w:rsid w:val="009930B5"/>
    <w:pPr>
      <w:suppressAutoHyphens/>
      <w:autoSpaceDN w:val="0"/>
      <w:spacing w:after="0" w:line="240" w:lineRule="auto"/>
      <w:ind w:left="720"/>
    </w:pPr>
    <w:rPr>
      <w:rFonts w:ascii="Liberation Serif" w:eastAsia="Times New Roman" w:hAnsi="Liberation Serif" w:cs="Liberation Serif"/>
      <w:kern w:val="3"/>
      <w:sz w:val="20"/>
      <w:szCs w:val="20"/>
      <w:lang w:eastAsia="zh-CN"/>
    </w:rPr>
  </w:style>
</w:styles>
</file>

<file path=word/webSettings.xml><?xml version="1.0" encoding="utf-8"?>
<w:webSettings xmlns:r="http://schemas.openxmlformats.org/officeDocument/2006/relationships" xmlns:w="http://schemas.openxmlformats.org/wordprocessingml/2006/main">
  <w:divs>
    <w:div w:id="1289858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68</TotalTime>
  <Pages>1</Pages>
  <Words>378</Words>
  <Characters>2079</Characters>
  <Application>Microsoft Office Outlook</Application>
  <DocSecurity>0</DocSecurity>
  <Lines>0</Lines>
  <Paragraphs>0</Paragraphs>
  <ScaleCrop>false</ScaleCrop>
  <Company>regeconseil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CDG16 LAURENT CORNEIL</dc:creator>
  <cp:keywords/>
  <dc:description/>
  <cp:lastModifiedBy>gliot</cp:lastModifiedBy>
  <cp:revision>5</cp:revision>
  <cp:lastPrinted>2020-10-28T12:24:00Z</cp:lastPrinted>
  <dcterms:created xsi:type="dcterms:W3CDTF">2020-10-28T10:21:00Z</dcterms:created>
  <dcterms:modified xsi:type="dcterms:W3CDTF">2020-11-12T11:01:00Z</dcterms:modified>
</cp:coreProperties>
</file>