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AC" w:rsidRPr="00567FAC" w:rsidRDefault="00567FAC" w:rsidP="00567FAC">
      <w:pPr>
        <w:jc w:val="both"/>
        <w:rPr>
          <w:b/>
          <w:bCs/>
          <w:sz w:val="32"/>
          <w:szCs w:val="32"/>
        </w:rPr>
      </w:pPr>
      <w:r w:rsidRPr="00567FAC">
        <w:rPr>
          <w:b/>
          <w:bCs/>
          <w:sz w:val="32"/>
          <w:szCs w:val="32"/>
        </w:rPr>
        <w:t>Projet de motion portant sur la situation énergétique enFrance</w:t>
      </w:r>
    </w:p>
    <w:p w:rsidR="00567FAC" w:rsidRPr="00567FAC" w:rsidRDefault="00567FAC" w:rsidP="00567FAC">
      <w:pPr>
        <w:jc w:val="both"/>
        <w:rPr>
          <w:b/>
          <w:bCs/>
          <w:sz w:val="32"/>
          <w:szCs w:val="32"/>
        </w:rPr>
      </w:pPr>
      <w:r w:rsidRPr="00567FAC">
        <w:rPr>
          <w:b/>
          <w:bCs/>
          <w:sz w:val="32"/>
          <w:szCs w:val="32"/>
        </w:rPr>
        <w:t>Portée par Michel DELAGE maire de Feuillade, conseiller communautaire</w:t>
      </w:r>
    </w:p>
    <w:p w:rsidR="00567FAC" w:rsidRPr="00567FAC" w:rsidRDefault="00567FAC" w:rsidP="00567FAC">
      <w:pPr>
        <w:jc w:val="both"/>
        <w:rPr>
          <w:b/>
          <w:bCs/>
          <w:sz w:val="28"/>
          <w:szCs w:val="28"/>
        </w:rPr>
      </w:pPr>
      <w:r w:rsidRPr="00567FAC">
        <w:rPr>
          <w:b/>
          <w:bCs/>
          <w:sz w:val="28"/>
          <w:szCs w:val="28"/>
        </w:rPr>
        <w:t>Contexte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Depuis près d’un an, le marché de l’énergie connaît des perturbations historiques, notamment en raison de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l’invasion de l’Ukraine par la Russie le 24 février 2022. Ce contexte international, inédit au XXIe siècle,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place le marché énergétique en tension mais n'a été révélateur, et pas seulement déclencheur, d’une crise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profonde du marché électrique sous-jacente.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En effet, personne ne peut contester les mauvais choix politiques au niveau national et européen, à travers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les différentes lois et réglementations qui ont conduit à partir de la Loi de Février 2000 à une libéralisation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totale du marché de l'électricité et de l'énergie. Parallèlement, la vétusté d'une partie du Parc nucléaire, et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l’entretien que cela nécessite, a conduit à une utilisation importante du gaz naturel dans le mix énergétique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cet hiver.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D'une part, cela se traduit aujourd'hui par des hausses de tarifs qui ne sont supportables et acceptables ni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pour les entreprises ni pour les particuliers et ni pour les collectivités territoriales, dont nos communes. Pour</w:t>
      </w:r>
      <w:r w:rsidR="00850C2F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rappel, suivant les différentes sources, plus de 12 millions de personnes sont en situation de précarité énerg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>tique ou en grande pr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>carit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. Environ 15 % des familles en Charente n'ont pas les ressources nécessaires pour payer leurs factures 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>nerg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tiques et/ou se chauffer correctement dans leur logement. Face </w:t>
      </w:r>
      <w:r w:rsidRPr="00567FAC">
        <w:rPr>
          <w:rFonts w:ascii="Calibri" w:hAnsi="Calibri" w:cs="Calibri"/>
          <w:sz w:val="24"/>
          <w:szCs w:val="24"/>
        </w:rPr>
        <w:t>à</w:t>
      </w:r>
      <w:r w:rsidRPr="00567FAC">
        <w:rPr>
          <w:sz w:val="24"/>
          <w:szCs w:val="24"/>
        </w:rPr>
        <w:t xml:space="preserve"> ce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constat, ne serait-il pas nécessaire de baisser la TVA sur le gaz et l’électricité à 5,5% ?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Le mégaWatt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heure électrique, aux alentours de 40 € début 2021 a atteint un pic à 400 € en septembre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2022, ce qui se traduit par des factures prévisionnelles à des montants prohibitifs pour nos communes et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pour la communauté, avec pour conséquence de reporter voire d'arrêter la mise en place de projets sur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notre territoire.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D'autre part, rappelons que les fournisseurs alternatifs bénéficient d’un mécanisme qui les favorisent :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l’ARENH (Accès Régulé à l'Électricité Nucléaire Historique) ; qui permet à tous les fournisseurs alternatifs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de s'approvisionner en électricité auprès d'EDF, à un prix défiant toute concurrence (42 €/MWh). La majorit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 d</w:t>
      </w:r>
      <w:r w:rsidRPr="00567FAC">
        <w:rPr>
          <w:rFonts w:ascii="Calibri" w:hAnsi="Calibri" w:cs="Calibri"/>
          <w:sz w:val="24"/>
          <w:szCs w:val="24"/>
        </w:rPr>
        <w:t>’</w:t>
      </w:r>
      <w:r w:rsidRPr="00567FAC">
        <w:rPr>
          <w:sz w:val="24"/>
          <w:szCs w:val="24"/>
        </w:rPr>
        <w:t>entre eux annoncent des chiffres d</w:t>
      </w:r>
      <w:r w:rsidRPr="00567FAC">
        <w:rPr>
          <w:rFonts w:ascii="Calibri" w:hAnsi="Calibri" w:cs="Calibri"/>
          <w:sz w:val="24"/>
          <w:szCs w:val="24"/>
        </w:rPr>
        <w:t>’</w:t>
      </w:r>
      <w:r w:rsidRPr="00567FAC">
        <w:rPr>
          <w:sz w:val="24"/>
          <w:szCs w:val="24"/>
        </w:rPr>
        <w:t>affaires et des b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>n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>fices records sans pour autant garantir de la stabilit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 pour les usagers ni m</w:t>
      </w:r>
      <w:r w:rsidRPr="00567FAC">
        <w:rPr>
          <w:rFonts w:ascii="Calibri" w:hAnsi="Calibri" w:cs="Calibri"/>
          <w:sz w:val="24"/>
          <w:szCs w:val="24"/>
        </w:rPr>
        <w:t>ê</w:t>
      </w:r>
      <w:r w:rsidRPr="00567FAC">
        <w:rPr>
          <w:sz w:val="24"/>
          <w:szCs w:val="24"/>
        </w:rPr>
        <w:t>me avoir l’obligation d’investir dans des moyens de production sécurisant le réseau.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Certes, le Gouvernement a décidé d’apporter des aides financières conséquentes aux industriels, ainsi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qu’aux collectivités pour limiter les effets des hausses des prix. Si cela est bien perçu par les bénéficiaires,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ce n’est que temporaire et cela ne permet pas d’amortir suffisamment la facture. D’autant plus que c’est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notre compte commun à tous qui paye la note. C’est la double peine pour les citoyens !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lastRenderedPageBreak/>
        <w:t>La situation de la crise actuelle du secteur électrique et gazier, devrait éveiller les esprits de ceux qui ont fait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 xml:space="preserve">croire que la politique énergétique libérale suivie des privatisations en Europe et dans notre pays permettrait </w:t>
      </w:r>
      <w:r w:rsidRPr="00567FAC">
        <w:rPr>
          <w:rFonts w:ascii="Calibri" w:hAnsi="Calibri" w:cs="Calibri"/>
          <w:sz w:val="24"/>
          <w:szCs w:val="24"/>
        </w:rPr>
        <w:t>à</w:t>
      </w:r>
      <w:r w:rsidRPr="00567FAC">
        <w:rPr>
          <w:sz w:val="24"/>
          <w:szCs w:val="24"/>
        </w:rPr>
        <w:t xml:space="preserve"> tous, des jours meilleurs</w:t>
      </w:r>
      <w:r w:rsidRPr="00567FAC">
        <w:rPr>
          <w:rFonts w:ascii="Calibri" w:hAnsi="Calibri" w:cs="Calibri"/>
          <w:sz w:val="24"/>
          <w:szCs w:val="24"/>
        </w:rPr>
        <w:t>…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Nous, Élus des citoyens, sommes très inquiets de la situation qui impacte profondément notre capacité à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assurer toutes les missions que nous devons à nos concitoyens. Il est important de rappeler ici que la Communaut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 de Communes La Rochefoucauld </w:t>
      </w:r>
      <w:r w:rsidRPr="00567FAC">
        <w:rPr>
          <w:rFonts w:ascii="Calibri" w:hAnsi="Calibri" w:cs="Calibri"/>
          <w:sz w:val="24"/>
          <w:szCs w:val="24"/>
        </w:rPr>
        <w:t>–</w:t>
      </w:r>
      <w:r w:rsidRPr="00567FAC">
        <w:rPr>
          <w:sz w:val="24"/>
          <w:szCs w:val="24"/>
        </w:rPr>
        <w:t xml:space="preserve"> Porte du P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rigord n'est pas passive : ses équipes rédigent actuellement son Plan Climat Air 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nergie Territorial et un Contrat d'Objectif Territorial a 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>t</w:t>
      </w:r>
      <w:r w:rsidRPr="00567FAC">
        <w:rPr>
          <w:rFonts w:ascii="Calibri" w:hAnsi="Calibri" w:cs="Calibri"/>
          <w:sz w:val="24"/>
          <w:szCs w:val="24"/>
        </w:rPr>
        <w:t>é</w:t>
      </w:r>
      <w:r w:rsidRPr="00567FAC">
        <w:rPr>
          <w:sz w:val="24"/>
          <w:szCs w:val="24"/>
        </w:rPr>
        <w:t xml:space="preserve"> contractualis</w:t>
      </w:r>
      <w:r w:rsidRPr="00567FAC">
        <w:rPr>
          <w:rFonts w:ascii="Calibri" w:hAnsi="Calibri" w:cs="Calibri"/>
          <w:sz w:val="24"/>
          <w:szCs w:val="24"/>
        </w:rPr>
        <w:t>é</w:t>
      </w:r>
      <w:r w:rsidR="00F21C0A">
        <w:rPr>
          <w:rFonts w:ascii="Calibri" w:hAnsi="Calibri" w:cs="Calibri"/>
          <w:sz w:val="24"/>
          <w:szCs w:val="24"/>
        </w:rPr>
        <w:t xml:space="preserve"> </w:t>
      </w:r>
      <w:r w:rsidRPr="00567FAC">
        <w:rPr>
          <w:sz w:val="24"/>
          <w:szCs w:val="24"/>
        </w:rPr>
        <w:t>avec l'ADEME afin de définir des axes qui permettront de répondre aux grands enjeux environnementaux à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la fois à court terme mais également d'ici 2030 et 2050. De plus, notre EPCI met en place un service de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Conseil en énergie Partagé afin d'avoir une approche globale sur les questions énergétiques liées à son patrimoine b</w:t>
      </w:r>
      <w:r w:rsidRPr="00567FAC">
        <w:rPr>
          <w:rFonts w:ascii="Calibri" w:hAnsi="Calibri" w:cs="Calibri"/>
          <w:sz w:val="24"/>
          <w:szCs w:val="24"/>
        </w:rPr>
        <w:t>â</w:t>
      </w:r>
      <w:r w:rsidRPr="00567FAC">
        <w:rPr>
          <w:sz w:val="24"/>
          <w:szCs w:val="24"/>
        </w:rPr>
        <w:t xml:space="preserve">ti et </w:t>
      </w:r>
      <w:r w:rsidRPr="00567FAC">
        <w:rPr>
          <w:rFonts w:ascii="Calibri" w:hAnsi="Calibri" w:cs="Calibri"/>
          <w:sz w:val="24"/>
          <w:szCs w:val="24"/>
        </w:rPr>
        <w:t>à</w:t>
      </w:r>
      <w:r w:rsidRPr="00567FAC">
        <w:rPr>
          <w:sz w:val="24"/>
          <w:szCs w:val="24"/>
        </w:rPr>
        <w:t xml:space="preserve"> celui des communes.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Il y a urgence à revenir à la maîtrise totale de l’État sur le secteur électrique et gazier et aussi à mettre en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place une véritable commission de veille, composée de citoyens et leurs représentants, d’associations qui interviennent dans le domaine de la précarité, etc...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La situation exige également un grand débat citoyen dans notre pays sur les enjeux énergétiques qui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couvrent des temps longs. Car aujourd’hui, sans l’adhésion du plus grand nombre, comment répondre aux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besoins grandissants, aux investissements, aux enjeux climatiques, tout en maîtrisant les coûts pour les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usagers ?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Les Élus réunis en Conseil Communautaire, demandent au gouvernement :</w:t>
      </w:r>
    </w:p>
    <w:p w:rsidR="00567FAC" w:rsidRPr="00567FAC" w:rsidRDefault="00567FAC" w:rsidP="00567FA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67FAC">
        <w:rPr>
          <w:sz w:val="24"/>
          <w:szCs w:val="24"/>
        </w:rPr>
        <w:t>De tout mettre en œuvre pour permettre aux collectivités de revenir au tarif réglementé quel que soit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la puissance souscrite.</w:t>
      </w:r>
    </w:p>
    <w:p w:rsidR="00567FAC" w:rsidRPr="00567FAC" w:rsidRDefault="00567FAC" w:rsidP="00567FA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567FAC">
        <w:rPr>
          <w:sz w:val="24"/>
          <w:szCs w:val="24"/>
        </w:rPr>
        <w:t>La création dans notre pays, d’un Pôle Public de l’Énergie 100 % public, intégrant l’ensemble des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entreprises du secteur pour une meilleure complémentarité, au service de la nation et des usagers.</w:t>
      </w:r>
    </w:p>
    <w:p w:rsidR="00567FAC" w:rsidRPr="00567FAC" w:rsidRDefault="00567FAC" w:rsidP="00567FAC">
      <w:pPr>
        <w:jc w:val="both"/>
        <w:rPr>
          <w:sz w:val="24"/>
          <w:szCs w:val="24"/>
        </w:rPr>
      </w:pPr>
      <w:r w:rsidRPr="00567FAC">
        <w:rPr>
          <w:sz w:val="24"/>
          <w:szCs w:val="24"/>
        </w:rPr>
        <w:t>Seule une structure de ce type pourra conduire à répondre aux besoins des usagers et de l’industrie, tout en ma</w:t>
      </w:r>
      <w:r w:rsidRPr="00567FAC">
        <w:rPr>
          <w:rFonts w:ascii="Calibri" w:hAnsi="Calibri" w:cs="Calibri"/>
          <w:sz w:val="24"/>
          <w:szCs w:val="24"/>
        </w:rPr>
        <w:t>î</w:t>
      </w:r>
      <w:r w:rsidRPr="00567FAC">
        <w:rPr>
          <w:sz w:val="24"/>
          <w:szCs w:val="24"/>
        </w:rPr>
        <w:t>trisant les ressources et les co</w:t>
      </w:r>
      <w:r w:rsidRPr="00567FAC">
        <w:rPr>
          <w:rFonts w:ascii="Calibri" w:hAnsi="Calibri" w:cs="Calibri"/>
          <w:sz w:val="24"/>
          <w:szCs w:val="24"/>
        </w:rPr>
        <w:t>û</w:t>
      </w:r>
      <w:r w:rsidRPr="00567FAC">
        <w:rPr>
          <w:sz w:val="24"/>
          <w:szCs w:val="24"/>
        </w:rPr>
        <w:t>ts.</w:t>
      </w:r>
    </w:p>
    <w:p w:rsidR="00063D6F" w:rsidRPr="00567FAC" w:rsidRDefault="00567FAC" w:rsidP="00567FAC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567FAC">
        <w:rPr>
          <w:sz w:val="24"/>
          <w:szCs w:val="24"/>
        </w:rPr>
        <w:t>L'assurance de pouvoir mener à terme ses projets de transition énergétique tels qu'ils seront décrits</w:t>
      </w:r>
      <w:r w:rsidR="00F21C0A">
        <w:rPr>
          <w:sz w:val="24"/>
          <w:szCs w:val="24"/>
        </w:rPr>
        <w:t xml:space="preserve"> </w:t>
      </w:r>
      <w:r w:rsidRPr="00567FAC">
        <w:rPr>
          <w:sz w:val="24"/>
          <w:szCs w:val="24"/>
        </w:rPr>
        <w:t>dans le Plan Climat Air Énergie Territorial et le plan d’action du Contrat d'Objectif Territorial</w:t>
      </w:r>
      <w:r>
        <w:rPr>
          <w:sz w:val="24"/>
          <w:szCs w:val="24"/>
        </w:rPr>
        <w:t>.</w:t>
      </w:r>
    </w:p>
    <w:sectPr w:rsidR="00063D6F" w:rsidRPr="00567FAC" w:rsidSect="0050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D92" w:rsidRDefault="00B91D92" w:rsidP="00B227A8">
      <w:pPr>
        <w:spacing w:after="0" w:line="240" w:lineRule="auto"/>
      </w:pPr>
      <w:r>
        <w:separator/>
      </w:r>
    </w:p>
  </w:endnote>
  <w:endnote w:type="continuationSeparator" w:id="1">
    <w:p w:rsidR="00B91D92" w:rsidRDefault="00B91D92" w:rsidP="00B2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D92" w:rsidRDefault="00B91D92" w:rsidP="00B227A8">
      <w:pPr>
        <w:spacing w:after="0" w:line="240" w:lineRule="auto"/>
      </w:pPr>
      <w:r>
        <w:separator/>
      </w:r>
    </w:p>
  </w:footnote>
  <w:footnote w:type="continuationSeparator" w:id="1">
    <w:p w:rsidR="00B91D92" w:rsidRDefault="00B91D92" w:rsidP="00B2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039"/>
    <w:multiLevelType w:val="hybridMultilevel"/>
    <w:tmpl w:val="5748D0E2"/>
    <w:lvl w:ilvl="0" w:tplc="DC3EC13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3640"/>
    <w:multiLevelType w:val="hybridMultilevel"/>
    <w:tmpl w:val="C0169A06"/>
    <w:lvl w:ilvl="0" w:tplc="0C989AD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7A8"/>
    <w:rsid w:val="00063D6F"/>
    <w:rsid w:val="00131F42"/>
    <w:rsid w:val="003020C3"/>
    <w:rsid w:val="00506986"/>
    <w:rsid w:val="00567FAC"/>
    <w:rsid w:val="00614D92"/>
    <w:rsid w:val="00850C2F"/>
    <w:rsid w:val="008B6BA4"/>
    <w:rsid w:val="008C2540"/>
    <w:rsid w:val="00AB3AA4"/>
    <w:rsid w:val="00B227A8"/>
    <w:rsid w:val="00B3542F"/>
    <w:rsid w:val="00B91D92"/>
    <w:rsid w:val="00C47A7C"/>
    <w:rsid w:val="00D21F55"/>
    <w:rsid w:val="00F2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B227A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27A8"/>
    <w:rPr>
      <w:rFonts w:ascii="Calibri" w:hAnsi="Calibri"/>
      <w:szCs w:val="21"/>
    </w:rPr>
  </w:style>
  <w:style w:type="paragraph" w:styleId="En-tte">
    <w:name w:val="header"/>
    <w:basedOn w:val="Normal"/>
    <w:link w:val="En-tteCar"/>
    <w:uiPriority w:val="99"/>
    <w:unhideWhenUsed/>
    <w:rsid w:val="00B2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7A8"/>
  </w:style>
  <w:style w:type="paragraph" w:styleId="Pieddepage">
    <w:name w:val="footer"/>
    <w:basedOn w:val="Normal"/>
    <w:link w:val="PieddepageCar"/>
    <w:uiPriority w:val="99"/>
    <w:unhideWhenUsed/>
    <w:rsid w:val="00B2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7A8"/>
  </w:style>
  <w:style w:type="character" w:styleId="Marquedecommentaire">
    <w:name w:val="annotation reference"/>
    <w:basedOn w:val="Policepardfaut"/>
    <w:uiPriority w:val="99"/>
    <w:semiHidden/>
    <w:unhideWhenUsed/>
    <w:rsid w:val="00B227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27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27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27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27A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7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67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Utilisateur</cp:lastModifiedBy>
  <cp:revision>4</cp:revision>
  <dcterms:created xsi:type="dcterms:W3CDTF">2023-03-13T14:30:00Z</dcterms:created>
  <dcterms:modified xsi:type="dcterms:W3CDTF">2023-03-13T15:03:00Z</dcterms:modified>
</cp:coreProperties>
</file>