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DC6" w:rsidRPr="009716DE" w:rsidRDefault="00DC6DC6" w:rsidP="00436F45">
      <w:pPr>
        <w:spacing w:line="240" w:lineRule="auto"/>
        <w:rPr>
          <w:rFonts w:ascii="Times New Roman" w:hAnsi="Times New Roman" w:cs="Times New Roman"/>
          <w:sz w:val="24"/>
          <w:szCs w:val="24"/>
          <w:lang w:eastAsia="fr-FR"/>
        </w:rPr>
      </w:pPr>
      <w:r w:rsidRPr="0016354D">
        <w:rPr>
          <w:rFonts w:ascii="Times New Roman" w:hAnsi="Times New Roman" w:cs="Times New Roman"/>
          <w:noProof/>
          <w:sz w:val="24"/>
          <w:szCs w:val="24"/>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i1025" type="#_x0000_t75" style="width:160.8pt;height:125.4pt;visibility:visible">
            <v:imagedata r:id="rId7" o:title=""/>
          </v:shape>
        </w:pict>
      </w:r>
    </w:p>
    <w:p w:rsidR="00DC6DC6" w:rsidRDefault="00DC6DC6" w:rsidP="00F24475">
      <w:pPr>
        <w:spacing w:after="0" w:line="240" w:lineRule="auto"/>
        <w:jc w:val="center"/>
        <w:rPr>
          <w:rFonts w:ascii="Times New Roman" w:hAnsi="Times New Roman" w:cs="Times New Roman"/>
          <w:sz w:val="24"/>
          <w:szCs w:val="24"/>
          <w:lang w:eastAsia="fr-FR"/>
        </w:rPr>
      </w:pPr>
    </w:p>
    <w:p w:rsidR="00DC6DC6" w:rsidRPr="009716DE" w:rsidRDefault="00DC6DC6" w:rsidP="009716DE">
      <w:pPr>
        <w:spacing w:after="0" w:line="240" w:lineRule="auto"/>
        <w:rPr>
          <w:rFonts w:ascii="Times New Roman" w:hAnsi="Times New Roman" w:cs="Times New Roman"/>
          <w:sz w:val="24"/>
          <w:szCs w:val="24"/>
          <w:lang w:eastAsia="fr-FR"/>
        </w:rPr>
      </w:pPr>
    </w:p>
    <w:p w:rsidR="00DC6DC6" w:rsidRPr="009716DE" w:rsidRDefault="00DC6DC6" w:rsidP="009716DE">
      <w:pPr>
        <w:spacing w:after="240" w:line="240" w:lineRule="auto"/>
        <w:rPr>
          <w:rFonts w:ascii="Times New Roman" w:hAnsi="Times New Roman" w:cs="Times New Roman"/>
          <w:sz w:val="24"/>
          <w:szCs w:val="24"/>
          <w:lang w:eastAsia="fr-FR"/>
        </w:rPr>
      </w:pPr>
    </w:p>
    <w:p w:rsidR="00DC6DC6" w:rsidRPr="003C310B" w:rsidRDefault="00DC6DC6" w:rsidP="003C310B">
      <w:pPr>
        <w:spacing w:after="360" w:line="240" w:lineRule="auto"/>
        <w:ind w:left="567"/>
        <w:jc w:val="center"/>
        <w:rPr>
          <w:rFonts w:ascii="Arial" w:hAnsi="Arial" w:cs="Arial"/>
          <w:b/>
          <w:bCs/>
          <w:color w:val="000000"/>
          <w:sz w:val="32"/>
          <w:szCs w:val="32"/>
          <w:lang w:eastAsia="fr-FR"/>
        </w:rPr>
      </w:pPr>
      <w:r w:rsidRPr="003C310B">
        <w:rPr>
          <w:rFonts w:ascii="Arial" w:hAnsi="Arial" w:cs="Arial"/>
          <w:b/>
          <w:bCs/>
          <w:color w:val="000000"/>
          <w:sz w:val="32"/>
          <w:szCs w:val="32"/>
          <w:lang w:eastAsia="fr-FR"/>
        </w:rPr>
        <w:t>Ordonnances du Conseil des ministres</w:t>
      </w:r>
      <w:r w:rsidRPr="003C310B">
        <w:rPr>
          <w:rFonts w:ascii="Arial" w:hAnsi="Arial" w:cs="Arial"/>
          <w:b/>
          <w:bCs/>
          <w:color w:val="000000"/>
          <w:sz w:val="32"/>
          <w:szCs w:val="32"/>
          <w:lang w:eastAsia="fr-FR"/>
        </w:rPr>
        <w:br/>
        <w:t>du 25 mars 2020</w:t>
      </w:r>
    </w:p>
    <w:p w:rsidR="00DC6DC6" w:rsidRPr="003C310B" w:rsidRDefault="00DC6DC6" w:rsidP="003C310B">
      <w:pPr>
        <w:spacing w:after="360" w:line="240" w:lineRule="auto"/>
        <w:ind w:left="567"/>
        <w:jc w:val="center"/>
        <w:rPr>
          <w:rFonts w:ascii="Arial" w:hAnsi="Arial" w:cs="Arial"/>
          <w:sz w:val="36"/>
          <w:szCs w:val="36"/>
          <w:lang w:eastAsia="fr-FR"/>
        </w:rPr>
      </w:pPr>
      <w:r w:rsidRPr="003C310B">
        <w:rPr>
          <w:rFonts w:ascii="Arial" w:hAnsi="Arial" w:cs="Arial"/>
          <w:b/>
          <w:bCs/>
          <w:color w:val="000000"/>
          <w:sz w:val="32"/>
          <w:szCs w:val="32"/>
          <w:lang w:eastAsia="fr-FR"/>
        </w:rPr>
        <w:t>Les collectivités territoriales et leurs groupements</w:t>
      </w:r>
    </w:p>
    <w:p w:rsidR="00DC6DC6" w:rsidRPr="00F4471B" w:rsidRDefault="00DC6DC6" w:rsidP="00F24475">
      <w:pPr>
        <w:spacing w:after="0" w:line="240" w:lineRule="auto"/>
        <w:jc w:val="center"/>
        <w:rPr>
          <w:rFonts w:ascii="Arial" w:hAnsi="Arial" w:cs="Arial"/>
          <w:sz w:val="24"/>
          <w:szCs w:val="24"/>
          <w:lang w:eastAsia="fr-FR"/>
        </w:rPr>
      </w:pPr>
    </w:p>
    <w:p w:rsidR="00DC6DC6" w:rsidRPr="00F4471B" w:rsidRDefault="00DC6DC6" w:rsidP="00F24475">
      <w:pPr>
        <w:tabs>
          <w:tab w:val="left" w:pos="5026"/>
        </w:tabs>
        <w:spacing w:after="0" w:line="240" w:lineRule="auto"/>
        <w:jc w:val="center"/>
        <w:rPr>
          <w:rFonts w:ascii="Arial" w:hAnsi="Arial" w:cs="Arial"/>
          <w:sz w:val="24"/>
          <w:szCs w:val="24"/>
          <w:lang w:eastAsia="fr-FR"/>
        </w:rPr>
      </w:pPr>
    </w:p>
    <w:p w:rsidR="00DC6DC6" w:rsidRDefault="00DC6DC6" w:rsidP="00F24475">
      <w:pPr>
        <w:tabs>
          <w:tab w:val="left" w:pos="5026"/>
        </w:tabs>
        <w:spacing w:after="0" w:line="240" w:lineRule="auto"/>
        <w:jc w:val="center"/>
        <w:rPr>
          <w:rFonts w:ascii="Arial" w:hAnsi="Arial" w:cs="Arial"/>
          <w:sz w:val="24"/>
          <w:szCs w:val="24"/>
          <w:lang w:eastAsia="fr-FR"/>
        </w:rPr>
      </w:pPr>
    </w:p>
    <w:p w:rsidR="00DC6DC6" w:rsidRPr="009716DE" w:rsidRDefault="00DC6DC6" w:rsidP="00A2160C">
      <w:pPr>
        <w:spacing w:after="0" w:line="240" w:lineRule="auto"/>
        <w:rPr>
          <w:rFonts w:ascii="Times New Roman" w:hAnsi="Times New Roman" w:cs="Times New Roman"/>
          <w:sz w:val="24"/>
          <w:szCs w:val="24"/>
          <w:lang w:eastAsia="fr-FR"/>
        </w:rPr>
      </w:pPr>
    </w:p>
    <w:p w:rsidR="00DC6DC6" w:rsidRPr="00A2160C" w:rsidRDefault="00DC6DC6" w:rsidP="00A2160C">
      <w:pPr>
        <w:spacing w:after="0" w:line="240" w:lineRule="auto"/>
        <w:ind w:left="567"/>
        <w:jc w:val="center"/>
        <w:rPr>
          <w:rFonts w:ascii="Arial" w:hAnsi="Arial" w:cs="Arial"/>
          <w:color w:val="000000"/>
          <w:sz w:val="20"/>
          <w:szCs w:val="20"/>
          <w:lang w:eastAsia="fr-FR"/>
        </w:rPr>
      </w:pPr>
      <w:r w:rsidRPr="00A2160C">
        <w:rPr>
          <w:rFonts w:ascii="Arial" w:hAnsi="Arial" w:cs="Arial"/>
          <w:color w:val="000000"/>
          <w:sz w:val="20"/>
          <w:szCs w:val="20"/>
          <w:lang w:eastAsia="fr-FR"/>
        </w:rPr>
        <w:t>Madame Jacqueline GOURAULT, ministre de la Cohésion des territoires</w:t>
      </w:r>
      <w:r w:rsidRPr="00A2160C">
        <w:rPr>
          <w:rFonts w:ascii="Arial" w:hAnsi="Arial" w:cs="Arial"/>
          <w:color w:val="000000"/>
          <w:sz w:val="20"/>
          <w:szCs w:val="20"/>
          <w:lang w:eastAsia="fr-FR"/>
        </w:rPr>
        <w:br/>
        <w:t>et des Relations avec les Collectivités territoriales</w:t>
      </w:r>
    </w:p>
    <w:p w:rsidR="00DC6DC6" w:rsidRPr="00A2160C" w:rsidRDefault="00DC6DC6" w:rsidP="00A2160C">
      <w:pPr>
        <w:spacing w:after="0" w:line="240" w:lineRule="auto"/>
        <w:ind w:left="567"/>
        <w:jc w:val="center"/>
        <w:rPr>
          <w:rFonts w:ascii="Arial" w:hAnsi="Arial" w:cs="Arial"/>
          <w:color w:val="000000"/>
          <w:sz w:val="20"/>
          <w:szCs w:val="20"/>
          <w:lang w:eastAsia="fr-FR"/>
        </w:rPr>
      </w:pPr>
    </w:p>
    <w:p w:rsidR="00DC6DC6" w:rsidRDefault="00DC6DC6" w:rsidP="00A2160C">
      <w:pPr>
        <w:spacing w:after="0" w:line="240" w:lineRule="auto"/>
        <w:ind w:left="567"/>
        <w:jc w:val="center"/>
        <w:rPr>
          <w:rFonts w:ascii="Arial" w:hAnsi="Arial" w:cs="Arial"/>
          <w:color w:val="000000"/>
          <w:sz w:val="20"/>
          <w:szCs w:val="20"/>
          <w:lang w:eastAsia="fr-FR"/>
        </w:rPr>
      </w:pPr>
      <w:r w:rsidRPr="00A2160C">
        <w:rPr>
          <w:rFonts w:ascii="Arial" w:hAnsi="Arial" w:cs="Arial"/>
          <w:color w:val="000000"/>
          <w:sz w:val="20"/>
          <w:szCs w:val="20"/>
          <w:lang w:eastAsia="fr-FR"/>
        </w:rPr>
        <w:t xml:space="preserve">Monsieur Sébastien LECORNU, ministre </w:t>
      </w:r>
      <w:r>
        <w:rPr>
          <w:rFonts w:ascii="Arial" w:hAnsi="Arial" w:cs="Arial"/>
          <w:color w:val="000000"/>
          <w:sz w:val="20"/>
          <w:szCs w:val="20"/>
          <w:lang w:eastAsia="fr-FR"/>
        </w:rPr>
        <w:t xml:space="preserve">auprès de la </w:t>
      </w:r>
      <w:r w:rsidRPr="00A2160C">
        <w:rPr>
          <w:rFonts w:ascii="Arial" w:hAnsi="Arial" w:cs="Arial"/>
          <w:color w:val="000000"/>
          <w:sz w:val="20"/>
          <w:szCs w:val="20"/>
          <w:lang w:eastAsia="fr-FR"/>
        </w:rPr>
        <w:t>ministre</w:t>
      </w:r>
      <w:r>
        <w:rPr>
          <w:rFonts w:ascii="Arial" w:hAnsi="Arial" w:cs="Arial"/>
          <w:color w:val="000000"/>
          <w:sz w:val="20"/>
          <w:szCs w:val="20"/>
          <w:lang w:eastAsia="fr-FR"/>
        </w:rPr>
        <w:t xml:space="preserve"> de la Cohésion des territoires </w:t>
      </w:r>
      <w:r w:rsidRPr="00A2160C">
        <w:rPr>
          <w:rFonts w:ascii="Arial" w:hAnsi="Arial" w:cs="Arial"/>
          <w:color w:val="000000"/>
          <w:sz w:val="20"/>
          <w:szCs w:val="20"/>
          <w:lang w:eastAsia="fr-FR"/>
        </w:rPr>
        <w:t>et des Relations avec les Collectivités territoriales</w:t>
      </w:r>
      <w:r>
        <w:rPr>
          <w:rFonts w:ascii="Arial" w:hAnsi="Arial" w:cs="Arial"/>
          <w:color w:val="000000"/>
          <w:sz w:val="20"/>
          <w:szCs w:val="20"/>
          <w:lang w:eastAsia="fr-FR"/>
        </w:rPr>
        <w:t>, chargé des c</w:t>
      </w:r>
      <w:r w:rsidRPr="00A2160C">
        <w:rPr>
          <w:rFonts w:ascii="Arial" w:hAnsi="Arial" w:cs="Arial"/>
          <w:color w:val="000000"/>
          <w:sz w:val="20"/>
          <w:szCs w:val="20"/>
          <w:lang w:eastAsia="fr-FR"/>
        </w:rPr>
        <w:t>ollectivités territoriales</w:t>
      </w:r>
    </w:p>
    <w:p w:rsidR="00DC6DC6" w:rsidRDefault="00DC6DC6" w:rsidP="00A2160C">
      <w:pPr>
        <w:spacing w:after="0" w:line="240" w:lineRule="auto"/>
        <w:ind w:left="567"/>
        <w:jc w:val="center"/>
        <w:rPr>
          <w:rFonts w:ascii="Arial" w:hAnsi="Arial" w:cs="Arial"/>
          <w:color w:val="000000"/>
          <w:sz w:val="20"/>
          <w:szCs w:val="20"/>
          <w:lang w:eastAsia="fr-FR"/>
        </w:rPr>
      </w:pPr>
    </w:p>
    <w:p w:rsidR="00DC6DC6" w:rsidRPr="00A2160C" w:rsidRDefault="00DC6DC6" w:rsidP="00A2160C">
      <w:pPr>
        <w:spacing w:after="0" w:line="240" w:lineRule="auto"/>
        <w:ind w:left="567"/>
        <w:jc w:val="center"/>
        <w:rPr>
          <w:rFonts w:ascii="Arial" w:hAnsi="Arial" w:cs="Arial"/>
          <w:color w:val="000000"/>
          <w:sz w:val="20"/>
          <w:szCs w:val="20"/>
          <w:lang w:eastAsia="fr-FR"/>
        </w:rPr>
      </w:pPr>
      <w:r>
        <w:rPr>
          <w:rFonts w:ascii="Arial" w:hAnsi="Arial" w:cs="Arial"/>
          <w:color w:val="000000"/>
          <w:sz w:val="20"/>
          <w:szCs w:val="20"/>
          <w:lang w:eastAsia="fr-FR"/>
        </w:rPr>
        <w:t xml:space="preserve">Monsieur Julien Denormandie, ministre auprès de la </w:t>
      </w:r>
      <w:r w:rsidRPr="00A2160C">
        <w:rPr>
          <w:rFonts w:ascii="Arial" w:hAnsi="Arial" w:cs="Arial"/>
          <w:color w:val="000000"/>
          <w:sz w:val="20"/>
          <w:szCs w:val="20"/>
          <w:lang w:eastAsia="fr-FR"/>
        </w:rPr>
        <w:t>ministre</w:t>
      </w:r>
      <w:r>
        <w:rPr>
          <w:rFonts w:ascii="Arial" w:hAnsi="Arial" w:cs="Arial"/>
          <w:color w:val="000000"/>
          <w:sz w:val="20"/>
          <w:szCs w:val="20"/>
          <w:lang w:eastAsia="fr-FR"/>
        </w:rPr>
        <w:t xml:space="preserve"> de la Cohésion des territoires </w:t>
      </w:r>
      <w:r w:rsidRPr="00A2160C">
        <w:rPr>
          <w:rFonts w:ascii="Arial" w:hAnsi="Arial" w:cs="Arial"/>
          <w:color w:val="000000"/>
          <w:sz w:val="20"/>
          <w:szCs w:val="20"/>
          <w:lang w:eastAsia="fr-FR"/>
        </w:rPr>
        <w:t>et des Relations avec les Collectivités territoriales</w:t>
      </w:r>
      <w:r>
        <w:rPr>
          <w:rFonts w:ascii="Arial" w:hAnsi="Arial" w:cs="Arial"/>
          <w:color w:val="000000"/>
          <w:sz w:val="20"/>
          <w:szCs w:val="20"/>
          <w:lang w:eastAsia="fr-FR"/>
        </w:rPr>
        <w:t>, chargé de la ville et du logement</w:t>
      </w:r>
    </w:p>
    <w:p w:rsidR="00DC6DC6" w:rsidRPr="00A2160C" w:rsidRDefault="00DC6DC6" w:rsidP="00A2160C">
      <w:pPr>
        <w:spacing w:after="0" w:line="240" w:lineRule="auto"/>
        <w:rPr>
          <w:rFonts w:ascii="Arial" w:hAnsi="Arial" w:cs="Arial"/>
          <w:color w:val="000000"/>
          <w:sz w:val="24"/>
          <w:szCs w:val="24"/>
          <w:lang w:eastAsia="fr-FR"/>
        </w:rPr>
      </w:pPr>
    </w:p>
    <w:p w:rsidR="00DC6DC6" w:rsidRDefault="00DC6DC6" w:rsidP="00F24475">
      <w:pPr>
        <w:tabs>
          <w:tab w:val="left" w:pos="5026"/>
        </w:tabs>
        <w:spacing w:after="0" w:line="240" w:lineRule="auto"/>
        <w:jc w:val="center"/>
        <w:rPr>
          <w:rFonts w:ascii="Arial" w:hAnsi="Arial" w:cs="Arial"/>
          <w:sz w:val="24"/>
          <w:szCs w:val="24"/>
          <w:lang w:eastAsia="fr-FR"/>
        </w:rPr>
      </w:pPr>
    </w:p>
    <w:p w:rsidR="00DC6DC6" w:rsidRDefault="00DC6DC6" w:rsidP="00F24475">
      <w:pPr>
        <w:tabs>
          <w:tab w:val="left" w:pos="5026"/>
        </w:tabs>
        <w:spacing w:after="0" w:line="240" w:lineRule="auto"/>
        <w:jc w:val="center"/>
        <w:rPr>
          <w:rFonts w:ascii="Arial" w:hAnsi="Arial" w:cs="Arial"/>
          <w:sz w:val="24"/>
          <w:szCs w:val="24"/>
          <w:lang w:eastAsia="fr-FR"/>
        </w:rPr>
      </w:pPr>
    </w:p>
    <w:p w:rsidR="00DC6DC6" w:rsidRDefault="00DC6DC6" w:rsidP="00F24475">
      <w:pPr>
        <w:tabs>
          <w:tab w:val="left" w:pos="5026"/>
        </w:tabs>
        <w:spacing w:after="0" w:line="240" w:lineRule="auto"/>
        <w:jc w:val="center"/>
        <w:rPr>
          <w:rFonts w:ascii="Arial" w:hAnsi="Arial" w:cs="Arial"/>
          <w:sz w:val="24"/>
          <w:szCs w:val="24"/>
          <w:lang w:eastAsia="fr-FR"/>
        </w:rPr>
      </w:pPr>
    </w:p>
    <w:p w:rsidR="00DC6DC6" w:rsidRDefault="00DC6DC6">
      <w:pPr>
        <w:rPr>
          <w:rFonts w:ascii="Times New Roman" w:hAnsi="Times New Roman" w:cs="Times New Roman"/>
          <w:b/>
          <w:bCs/>
          <w:color w:val="4472C4"/>
          <w:u w:val="single"/>
          <w:lang w:eastAsia="fr-FR"/>
        </w:rPr>
      </w:pPr>
      <w:r>
        <w:rPr>
          <w:rFonts w:ascii="Times New Roman" w:hAnsi="Times New Roman" w:cs="Times New Roman"/>
          <w:b/>
          <w:bCs/>
          <w:color w:val="4472C4"/>
          <w:u w:val="single"/>
          <w:lang w:eastAsia="fr-FR"/>
        </w:rPr>
        <w:br w:type="page"/>
      </w:r>
    </w:p>
    <w:p w:rsidR="00DC6DC6" w:rsidRPr="008322FE" w:rsidRDefault="00DC6DC6" w:rsidP="008322FE">
      <w:pPr>
        <w:pStyle w:val="NoSpacing"/>
        <w:jc w:val="both"/>
        <w:rPr>
          <w:rFonts w:ascii="Times New Roman" w:hAnsi="Times New Roman" w:cs="Times New Roman"/>
          <w:color w:val="000000"/>
          <w:sz w:val="24"/>
          <w:szCs w:val="24"/>
        </w:rPr>
      </w:pPr>
      <w:r w:rsidRPr="008322FE">
        <w:rPr>
          <w:rFonts w:ascii="Times New Roman" w:hAnsi="Times New Roman" w:cs="Times New Roman"/>
          <w:sz w:val="24"/>
          <w:szCs w:val="24"/>
        </w:rPr>
        <w:t xml:space="preserve">Le Président de la République a promulgué la loi d’urgence </w:t>
      </w:r>
      <w:r w:rsidRPr="008322FE">
        <w:rPr>
          <w:rFonts w:ascii="Times New Roman" w:hAnsi="Times New Roman" w:cs="Times New Roman"/>
          <w:color w:val="000000"/>
          <w:sz w:val="24"/>
          <w:szCs w:val="24"/>
        </w:rPr>
        <w:t xml:space="preserve">pour faire face à l’épidémie de Covid-19. Outre l’entrée en vigueur de mesures essentielles pour les élus locaux, notamment sur la gouvernance des collectivités territoriales et de leurs groupements en raison du report du second tour des élections municipales, elle prévoit l’adoption de plusieurs ordonnances pour faire face à la situation sanitaire exceptionnelle que nous connaissons. </w:t>
      </w:r>
      <w:r w:rsidRPr="008322FE">
        <w:rPr>
          <w:rFonts w:ascii="Times New Roman" w:hAnsi="Times New Roman" w:cs="Times New Roman"/>
          <w:b/>
          <w:bCs/>
          <w:color w:val="000000"/>
          <w:sz w:val="24"/>
          <w:szCs w:val="24"/>
        </w:rPr>
        <w:t>25 ordonnances ont été adoptées par le Conseil des ministres du 25 mars 2020.</w:t>
      </w:r>
      <w:r w:rsidRPr="008322FE">
        <w:rPr>
          <w:rFonts w:ascii="Times New Roman" w:hAnsi="Times New Roman" w:cs="Times New Roman"/>
          <w:color w:val="000000"/>
          <w:sz w:val="24"/>
          <w:szCs w:val="24"/>
        </w:rPr>
        <w:t xml:space="preserve">  Cette présente note en précise le contenu pour les collectivités territoriales et leurs groupements. </w:t>
      </w:r>
    </w:p>
    <w:p w:rsidR="00DC6DC6" w:rsidRPr="008322FE" w:rsidRDefault="00DC6DC6" w:rsidP="008322FE">
      <w:pPr>
        <w:pStyle w:val="NoSpacing"/>
        <w:jc w:val="both"/>
        <w:rPr>
          <w:rFonts w:ascii="Times New Roman" w:hAnsi="Times New Roman" w:cs="Times New Roman"/>
          <w:color w:val="000000"/>
          <w:sz w:val="24"/>
          <w:szCs w:val="24"/>
        </w:rPr>
      </w:pPr>
    </w:p>
    <w:p w:rsidR="00DC6DC6" w:rsidRPr="008322FE" w:rsidRDefault="00DC6DC6" w:rsidP="008322FE">
      <w:pPr>
        <w:pStyle w:val="NoSpacing"/>
        <w:jc w:val="both"/>
        <w:rPr>
          <w:rFonts w:ascii="Times New Roman" w:hAnsi="Times New Roman" w:cs="Times New Roman"/>
          <w:color w:val="000000"/>
          <w:sz w:val="24"/>
          <w:szCs w:val="24"/>
        </w:rPr>
      </w:pPr>
      <w:r w:rsidRPr="008322FE">
        <w:rPr>
          <w:rFonts w:ascii="Times New Roman" w:hAnsi="Times New Roman" w:cs="Times New Roman"/>
          <w:b/>
          <w:bCs/>
          <w:color w:val="000000"/>
          <w:sz w:val="24"/>
          <w:szCs w:val="24"/>
        </w:rPr>
        <w:t xml:space="preserve">Une </w:t>
      </w:r>
      <w:r>
        <w:rPr>
          <w:rFonts w:ascii="Times New Roman" w:hAnsi="Times New Roman" w:cs="Times New Roman"/>
          <w:b/>
          <w:bCs/>
          <w:color w:val="000000"/>
          <w:sz w:val="24"/>
          <w:szCs w:val="24"/>
        </w:rPr>
        <w:t>foire aux questions</w:t>
      </w:r>
      <w:r w:rsidRPr="008322FE">
        <w:rPr>
          <w:rFonts w:ascii="Times New Roman" w:hAnsi="Times New Roman" w:cs="Times New Roman"/>
          <w:b/>
          <w:bCs/>
          <w:color w:val="000000"/>
          <w:sz w:val="24"/>
          <w:szCs w:val="24"/>
        </w:rPr>
        <w:t xml:space="preserve"> destinée aux élus locaux</w:t>
      </w:r>
      <w:r>
        <w:rPr>
          <w:rFonts w:ascii="Times New Roman" w:hAnsi="Times New Roman" w:cs="Times New Roman"/>
          <w:color w:val="000000"/>
          <w:sz w:val="24"/>
          <w:szCs w:val="24"/>
        </w:rPr>
        <w:t>, mise en ligne sur le site Internet du ministère (</w:t>
      </w:r>
      <w:hyperlink r:id="rId8" w:history="1">
        <w:r w:rsidRPr="007461BA">
          <w:rPr>
            <w:rStyle w:val="Hyperlink"/>
            <w:rFonts w:ascii="Times New Roman" w:hAnsi="Times New Roman" w:cs="Times New Roman"/>
            <w:sz w:val="24"/>
            <w:szCs w:val="24"/>
          </w:rPr>
          <w:t>www.cohesion-territoires.gouv.fr</w:t>
        </w:r>
      </w:hyperlink>
      <w:r>
        <w:rPr>
          <w:rFonts w:ascii="Times New Roman" w:hAnsi="Times New Roman" w:cs="Times New Roman"/>
          <w:color w:val="000000"/>
          <w:sz w:val="24"/>
          <w:szCs w:val="24"/>
        </w:rPr>
        <w:t>),</w:t>
      </w:r>
      <w:bookmarkStart w:id="0" w:name="_GoBack"/>
      <w:bookmarkEnd w:id="0"/>
      <w:r>
        <w:rPr>
          <w:rFonts w:ascii="Times New Roman" w:hAnsi="Times New Roman" w:cs="Times New Roman"/>
          <w:color w:val="000000"/>
          <w:sz w:val="24"/>
          <w:szCs w:val="24"/>
        </w:rPr>
        <w:t xml:space="preserve"> vi</w:t>
      </w:r>
      <w:r w:rsidRPr="008322FE">
        <w:rPr>
          <w:rFonts w:ascii="Times New Roman" w:hAnsi="Times New Roman" w:cs="Times New Roman"/>
          <w:color w:val="000000"/>
          <w:sz w:val="24"/>
          <w:szCs w:val="24"/>
        </w:rPr>
        <w:t xml:space="preserve">ent </w:t>
      </w:r>
      <w:r>
        <w:rPr>
          <w:rFonts w:ascii="Times New Roman" w:hAnsi="Times New Roman" w:cs="Times New Roman"/>
          <w:color w:val="000000"/>
          <w:sz w:val="24"/>
          <w:szCs w:val="24"/>
        </w:rPr>
        <w:t>vous</w:t>
      </w:r>
      <w:r w:rsidRPr="008322FE">
        <w:rPr>
          <w:rFonts w:ascii="Times New Roman" w:hAnsi="Times New Roman" w:cs="Times New Roman"/>
          <w:color w:val="000000"/>
          <w:sz w:val="24"/>
          <w:szCs w:val="24"/>
        </w:rPr>
        <w:t xml:space="preserve"> apporter des éléments complémentaires. </w:t>
      </w:r>
    </w:p>
    <w:p w:rsidR="00DC6DC6" w:rsidRPr="008322FE" w:rsidRDefault="00DC6DC6" w:rsidP="008322FE">
      <w:pPr>
        <w:pStyle w:val="NoSpacing"/>
        <w:rPr>
          <w:rFonts w:ascii="Times New Roman" w:hAnsi="Times New Roman" w:cs="Times New Roman"/>
          <w:color w:val="000000"/>
          <w:sz w:val="24"/>
          <w:szCs w:val="24"/>
        </w:rPr>
      </w:pPr>
    </w:p>
    <w:p w:rsidR="00DC6DC6" w:rsidRPr="008322FE" w:rsidRDefault="00DC6DC6" w:rsidP="008322FE">
      <w:pPr>
        <w:pStyle w:val="NoSpacing"/>
        <w:rPr>
          <w:rFonts w:ascii="Times New Roman" w:hAnsi="Times New Roman" w:cs="Times New Roman"/>
          <w:color w:val="000000"/>
          <w:sz w:val="24"/>
          <w:szCs w:val="24"/>
        </w:rPr>
      </w:pPr>
    </w:p>
    <w:p w:rsidR="00DC6DC6" w:rsidRDefault="00DC6DC6" w:rsidP="000820CE">
      <w:pPr>
        <w:jc w:val="center"/>
        <w:rPr>
          <w:rFonts w:ascii="Times New Roman" w:hAnsi="Times New Roman" w:cs="Times New Roman"/>
          <w:sz w:val="24"/>
          <w:szCs w:val="24"/>
        </w:rPr>
      </w:pPr>
      <w:r w:rsidRPr="008322FE">
        <w:rPr>
          <w:rFonts w:ascii="Times New Roman" w:hAnsi="Times New Roman" w:cs="Times New Roman"/>
          <w:sz w:val="24"/>
          <w:szCs w:val="24"/>
        </w:rPr>
        <w:t>***</w:t>
      </w:r>
    </w:p>
    <w:p w:rsidR="00DC6DC6" w:rsidRPr="000820CE" w:rsidRDefault="00DC6DC6" w:rsidP="000820CE">
      <w:pPr>
        <w:jc w:val="center"/>
        <w:rPr>
          <w:rFonts w:ascii="Times New Roman" w:hAnsi="Times New Roman" w:cs="Times New Roman"/>
          <w:sz w:val="24"/>
          <w:szCs w:val="24"/>
        </w:rPr>
      </w:pPr>
    </w:p>
    <w:p w:rsidR="00DC6DC6" w:rsidRPr="008322FE" w:rsidRDefault="00DC6DC6" w:rsidP="008322FE">
      <w:pPr>
        <w:pStyle w:val="NoSpacing"/>
        <w:numPr>
          <w:ilvl w:val="0"/>
          <w:numId w:val="40"/>
        </w:numPr>
        <w:ind w:left="709"/>
        <w:jc w:val="both"/>
        <w:rPr>
          <w:rFonts w:ascii="Times New Roman" w:hAnsi="Times New Roman" w:cs="Times New Roman"/>
          <w:b/>
          <w:bCs/>
          <w:color w:val="1F3864"/>
          <w:sz w:val="24"/>
          <w:szCs w:val="24"/>
        </w:rPr>
      </w:pPr>
      <w:r w:rsidRPr="008322FE">
        <w:rPr>
          <w:rFonts w:ascii="Times New Roman" w:hAnsi="Times New Roman" w:cs="Times New Roman"/>
          <w:b/>
          <w:bCs/>
          <w:color w:val="1F3864"/>
          <w:sz w:val="24"/>
          <w:szCs w:val="24"/>
        </w:rPr>
        <w:t>Ordonnance portant création d’un fonds de solidarité à destination des entreprises des secteurs particulièrement touchés par les conséquences de la propagation du virus Covid-19</w:t>
      </w:r>
    </w:p>
    <w:p w:rsidR="00DC6DC6" w:rsidRPr="008322FE" w:rsidRDefault="00DC6DC6" w:rsidP="008322FE">
      <w:pPr>
        <w:pStyle w:val="NoSpacing"/>
        <w:rPr>
          <w:rFonts w:ascii="Times New Roman" w:hAnsi="Times New Roman" w:cs="Times New Roman"/>
          <w:color w:val="000000"/>
          <w:sz w:val="24"/>
          <w:szCs w:val="24"/>
        </w:rPr>
      </w:pPr>
    </w:p>
    <w:p w:rsidR="00DC6DC6" w:rsidRPr="008322FE" w:rsidRDefault="00DC6DC6" w:rsidP="008322FE">
      <w:pPr>
        <w:pStyle w:val="NoSpacing"/>
        <w:jc w:val="both"/>
        <w:rPr>
          <w:rFonts w:ascii="Times New Roman" w:hAnsi="Times New Roman" w:cs="Times New Roman"/>
          <w:color w:val="000000"/>
          <w:sz w:val="24"/>
          <w:szCs w:val="24"/>
        </w:rPr>
      </w:pPr>
      <w:r w:rsidRPr="008322FE">
        <w:rPr>
          <w:rFonts w:ascii="Times New Roman" w:hAnsi="Times New Roman" w:cs="Times New Roman"/>
          <w:b/>
          <w:bCs/>
          <w:color w:val="000000"/>
          <w:sz w:val="24"/>
          <w:szCs w:val="24"/>
        </w:rPr>
        <w:t xml:space="preserve">L’ordonnance prévoit la création, pour 3 mois, d’un fonds de solidarité pour aider les entreprises </w:t>
      </w:r>
      <w:r w:rsidRPr="008322FE">
        <w:rPr>
          <w:rFonts w:ascii="Times New Roman" w:hAnsi="Times New Roman" w:cs="Times New Roman"/>
          <w:color w:val="000000"/>
          <w:sz w:val="24"/>
          <w:szCs w:val="24"/>
        </w:rPr>
        <w:t>exerçant une activité particulièrement touchée par les conséquences économiques, financières et sociales de la propagation du virus Covid-19. Le délai de 3 mois peut être prorogé par décret pour une durée maximale de six mois.</w:t>
      </w:r>
    </w:p>
    <w:p w:rsidR="00DC6DC6" w:rsidRPr="008322FE" w:rsidRDefault="00DC6DC6" w:rsidP="008322FE">
      <w:pPr>
        <w:pStyle w:val="NoSpacing"/>
        <w:jc w:val="both"/>
        <w:rPr>
          <w:rFonts w:ascii="Times New Roman" w:hAnsi="Times New Roman" w:cs="Times New Roman"/>
          <w:color w:val="000000"/>
          <w:sz w:val="24"/>
          <w:szCs w:val="24"/>
        </w:rPr>
      </w:pPr>
    </w:p>
    <w:p w:rsidR="00DC6DC6" w:rsidRPr="008322FE" w:rsidRDefault="00DC6DC6" w:rsidP="008322FE">
      <w:pPr>
        <w:pStyle w:val="NoSpacing"/>
        <w:jc w:val="both"/>
        <w:rPr>
          <w:rFonts w:ascii="Times New Roman" w:hAnsi="Times New Roman" w:cs="Times New Roman"/>
          <w:color w:val="000000"/>
          <w:sz w:val="24"/>
          <w:szCs w:val="24"/>
        </w:rPr>
      </w:pPr>
      <w:r w:rsidRPr="008322FE">
        <w:rPr>
          <w:rFonts w:ascii="Times New Roman" w:hAnsi="Times New Roman" w:cs="Times New Roman"/>
          <w:b/>
          <w:bCs/>
          <w:color w:val="000000"/>
          <w:sz w:val="24"/>
          <w:szCs w:val="24"/>
        </w:rPr>
        <w:t>Ce fonds de solidarité est financé par l’Etat, à hauteur de 750 M€. Les régions se sont également engagées à participer à ce fonds par contribution volontaire de 250 M€. Par ailleurs, les collectivités de Saint-Barthélemy, Saint-Martin, Saint-Pierre-et-Miquelon, Wallis-et-Futuna ainsi que tout autre collectivité territoriale ou établissement public de coopération intercommunale (EPCI) à fiscalité propre pourront y contribuer volontairement</w:t>
      </w:r>
      <w:r w:rsidRPr="008322FE">
        <w:rPr>
          <w:rFonts w:ascii="Times New Roman" w:hAnsi="Times New Roman" w:cs="Times New Roman"/>
          <w:color w:val="000000"/>
          <w:sz w:val="24"/>
          <w:szCs w:val="24"/>
        </w:rPr>
        <w:t>. Ainsi, les départements pourront participer au soutien aux entreprises en difficulté par l’intermédiaire de ce fonds de solidarité. Le montant et les modalités des contributions financières seront définis dans le cadre d’une convention conclue entre l’Etat et chaque collectivité territoriale volontaire.</w:t>
      </w:r>
    </w:p>
    <w:p w:rsidR="00DC6DC6" w:rsidRPr="008322FE" w:rsidRDefault="00DC6DC6" w:rsidP="008322FE">
      <w:pPr>
        <w:pStyle w:val="NoSpacing"/>
        <w:jc w:val="both"/>
        <w:rPr>
          <w:rFonts w:ascii="Times New Roman" w:hAnsi="Times New Roman" w:cs="Times New Roman"/>
          <w:color w:val="000000"/>
          <w:sz w:val="24"/>
          <w:szCs w:val="24"/>
        </w:rPr>
      </w:pPr>
    </w:p>
    <w:p w:rsidR="00DC6DC6" w:rsidRPr="008322FE" w:rsidRDefault="00DC6DC6" w:rsidP="008322FE">
      <w:pPr>
        <w:pStyle w:val="NoSpacing"/>
        <w:jc w:val="both"/>
        <w:rPr>
          <w:rFonts w:ascii="Times New Roman" w:hAnsi="Times New Roman" w:cs="Times New Roman"/>
          <w:color w:val="000000"/>
          <w:sz w:val="24"/>
          <w:szCs w:val="24"/>
        </w:rPr>
      </w:pPr>
      <w:r w:rsidRPr="008322FE">
        <w:rPr>
          <w:rFonts w:ascii="Times New Roman" w:hAnsi="Times New Roman" w:cs="Times New Roman"/>
          <w:b/>
          <w:bCs/>
          <w:color w:val="000000"/>
          <w:sz w:val="24"/>
          <w:szCs w:val="24"/>
        </w:rPr>
        <w:t>Le champ d’application du fonds ainsi que les conditions d’éligibilité et d’attribution des aides seront déterminés par décret</w:t>
      </w:r>
      <w:r w:rsidRPr="008322FE">
        <w:rPr>
          <w:rFonts w:ascii="Times New Roman" w:hAnsi="Times New Roman" w:cs="Times New Roman"/>
          <w:color w:val="000000"/>
          <w:sz w:val="24"/>
          <w:szCs w:val="24"/>
        </w:rPr>
        <w:t>. Il fixera également le taux ou le montant maximum des aides attribuées.</w:t>
      </w:r>
    </w:p>
    <w:p w:rsidR="00DC6DC6" w:rsidRPr="008322FE" w:rsidRDefault="00DC6DC6" w:rsidP="008322FE">
      <w:pPr>
        <w:pStyle w:val="NoSpacing"/>
        <w:rPr>
          <w:rFonts w:ascii="Times New Roman" w:hAnsi="Times New Roman" w:cs="Times New Roman"/>
          <w:color w:val="000000"/>
          <w:sz w:val="24"/>
          <w:szCs w:val="24"/>
        </w:rPr>
      </w:pPr>
    </w:p>
    <w:p w:rsidR="00DC6DC6" w:rsidRDefault="00DC6DC6">
      <w:pPr>
        <w:rPr>
          <w:rFonts w:ascii="Times New Roman" w:hAnsi="Times New Roman" w:cs="Times New Roman"/>
          <w:b/>
          <w:bCs/>
          <w:color w:val="1F3864"/>
          <w:sz w:val="24"/>
          <w:szCs w:val="24"/>
          <w:u w:val="single"/>
        </w:rPr>
      </w:pPr>
    </w:p>
    <w:p w:rsidR="00DC6DC6" w:rsidRPr="008322FE" w:rsidRDefault="00DC6DC6" w:rsidP="008322FE">
      <w:pPr>
        <w:pStyle w:val="NoSpacing"/>
        <w:numPr>
          <w:ilvl w:val="0"/>
          <w:numId w:val="40"/>
        </w:numPr>
        <w:ind w:left="709"/>
        <w:jc w:val="both"/>
        <w:rPr>
          <w:rFonts w:ascii="Times New Roman" w:hAnsi="Times New Roman" w:cs="Times New Roman"/>
          <w:b/>
          <w:bCs/>
          <w:color w:val="1F3864"/>
          <w:sz w:val="24"/>
          <w:szCs w:val="24"/>
        </w:rPr>
      </w:pPr>
      <w:r w:rsidRPr="008322FE">
        <w:rPr>
          <w:rFonts w:ascii="Times New Roman" w:hAnsi="Times New Roman" w:cs="Times New Roman"/>
          <w:b/>
          <w:bCs/>
          <w:color w:val="1F3864"/>
          <w:sz w:val="24"/>
          <w:szCs w:val="24"/>
        </w:rPr>
        <w:t>Ordonnance relative aux mesures de continuité budgétaire, financière et fiscale des collectivités territoriales et des établissements publics locaux afin de faire face aux conséquences de l’épidémie de Covid-19</w:t>
      </w:r>
    </w:p>
    <w:p w:rsidR="00DC6DC6" w:rsidRPr="008322FE" w:rsidRDefault="00DC6DC6" w:rsidP="008322FE">
      <w:pPr>
        <w:pStyle w:val="NoSpacing"/>
        <w:rPr>
          <w:rFonts w:ascii="Times New Roman" w:hAnsi="Times New Roman" w:cs="Times New Roman"/>
          <w:color w:val="000000"/>
          <w:sz w:val="24"/>
          <w:szCs w:val="24"/>
        </w:rPr>
      </w:pPr>
    </w:p>
    <w:p w:rsidR="00DC6DC6" w:rsidRPr="008322FE" w:rsidRDefault="00DC6DC6" w:rsidP="008322FE">
      <w:pPr>
        <w:jc w:val="both"/>
        <w:rPr>
          <w:rFonts w:ascii="Times New Roman" w:hAnsi="Times New Roman" w:cs="Times New Roman"/>
          <w:sz w:val="24"/>
          <w:szCs w:val="24"/>
        </w:rPr>
      </w:pPr>
      <w:r w:rsidRPr="008322FE">
        <w:rPr>
          <w:rFonts w:ascii="Times New Roman" w:hAnsi="Times New Roman" w:cs="Times New Roman"/>
          <w:b/>
          <w:bCs/>
          <w:sz w:val="24"/>
          <w:szCs w:val="24"/>
        </w:rPr>
        <w:t>En premier lieu, le président du conseil régional pourra octroyer directement des aides aux entreprises, dans la limite de 100 000 euros par aide, par délégation du conseil régional</w:t>
      </w:r>
      <w:r w:rsidRPr="008322FE">
        <w:rPr>
          <w:rFonts w:ascii="Times New Roman" w:hAnsi="Times New Roman" w:cs="Times New Roman"/>
          <w:sz w:val="24"/>
          <w:szCs w:val="24"/>
        </w:rPr>
        <w:t xml:space="preserve">. Cette délégation durera au maximum 6 mois à compter de la promulgation de l’ordonnance et permettra au président d’agir sans avoir à réunir son assemblée délibérante. Il devra rendre compte des aides octroyées lors de la prochaine réunion du conseil régional. </w:t>
      </w:r>
    </w:p>
    <w:p w:rsidR="00DC6DC6" w:rsidRPr="008322FE" w:rsidRDefault="00DC6DC6" w:rsidP="008322FE">
      <w:pPr>
        <w:jc w:val="both"/>
        <w:rPr>
          <w:rFonts w:ascii="Times New Roman" w:hAnsi="Times New Roman" w:cs="Times New Roman"/>
          <w:sz w:val="24"/>
          <w:szCs w:val="24"/>
        </w:rPr>
      </w:pPr>
    </w:p>
    <w:p w:rsidR="00DC6DC6" w:rsidRPr="008322FE" w:rsidRDefault="00DC6DC6" w:rsidP="008322FE">
      <w:pPr>
        <w:jc w:val="both"/>
        <w:rPr>
          <w:rFonts w:ascii="Times New Roman" w:hAnsi="Times New Roman" w:cs="Times New Roman"/>
          <w:sz w:val="24"/>
          <w:szCs w:val="24"/>
        </w:rPr>
      </w:pPr>
      <w:r w:rsidRPr="008322FE">
        <w:rPr>
          <w:rFonts w:ascii="Times New Roman" w:hAnsi="Times New Roman" w:cs="Times New Roman"/>
          <w:b/>
          <w:bCs/>
          <w:sz w:val="24"/>
          <w:szCs w:val="24"/>
        </w:rPr>
        <w:t xml:space="preserve">En deuxième lieu, </w:t>
      </w:r>
      <w:r w:rsidRPr="008322FE">
        <w:rPr>
          <w:rFonts w:ascii="Times New Roman" w:hAnsi="Times New Roman" w:cs="Times New Roman"/>
          <w:b/>
          <w:bCs/>
          <w:sz w:val="24"/>
          <w:szCs w:val="24"/>
          <w:u w:val="single"/>
        </w:rPr>
        <w:t>en matière budgétaire</w:t>
      </w:r>
      <w:r w:rsidRPr="008322FE">
        <w:rPr>
          <w:rFonts w:ascii="Times New Roman" w:hAnsi="Times New Roman" w:cs="Times New Roman"/>
          <w:b/>
          <w:bCs/>
          <w:sz w:val="24"/>
          <w:szCs w:val="24"/>
        </w:rPr>
        <w:t>, plusieurs échéances prévues dans la loi sont reportées</w:t>
      </w:r>
      <w:r w:rsidRPr="008322FE">
        <w:rPr>
          <w:rFonts w:ascii="Times New Roman" w:hAnsi="Times New Roman" w:cs="Times New Roman"/>
          <w:sz w:val="24"/>
          <w:szCs w:val="24"/>
        </w:rPr>
        <w:t xml:space="preserve"> afin de laisser davantage de temps aux élus pour s’organiser :</w:t>
      </w:r>
    </w:p>
    <w:p w:rsidR="00DC6DC6" w:rsidRPr="008322FE" w:rsidRDefault="00DC6DC6" w:rsidP="008322FE">
      <w:pPr>
        <w:pStyle w:val="ListParagraph"/>
        <w:numPr>
          <w:ilvl w:val="0"/>
          <w:numId w:val="41"/>
        </w:numPr>
        <w:spacing w:after="0" w:line="240" w:lineRule="auto"/>
        <w:jc w:val="both"/>
        <w:rPr>
          <w:rFonts w:ascii="Times New Roman" w:hAnsi="Times New Roman" w:cs="Times New Roman"/>
          <w:sz w:val="24"/>
          <w:szCs w:val="24"/>
        </w:rPr>
      </w:pPr>
      <w:r w:rsidRPr="008322FE">
        <w:rPr>
          <w:rFonts w:ascii="Times New Roman" w:hAnsi="Times New Roman" w:cs="Times New Roman"/>
          <w:sz w:val="24"/>
          <w:szCs w:val="24"/>
          <w:u w:val="single"/>
        </w:rPr>
        <w:t>L’adoption du budget primitif</w:t>
      </w:r>
      <w:r w:rsidRPr="008322FE">
        <w:rPr>
          <w:rFonts w:ascii="Times New Roman" w:hAnsi="Times New Roman" w:cs="Times New Roman"/>
          <w:sz w:val="24"/>
          <w:szCs w:val="24"/>
        </w:rPr>
        <w:t> : date limite au 31 juillet 2020 contre le 15 ou le 30 avril 2020.</w:t>
      </w:r>
    </w:p>
    <w:p w:rsidR="00DC6DC6" w:rsidRPr="008322FE" w:rsidRDefault="00DC6DC6" w:rsidP="008322FE">
      <w:pPr>
        <w:pStyle w:val="ListParagraph"/>
        <w:spacing w:after="0" w:line="240" w:lineRule="auto"/>
        <w:jc w:val="both"/>
        <w:rPr>
          <w:rFonts w:ascii="Times New Roman" w:hAnsi="Times New Roman" w:cs="Times New Roman"/>
          <w:sz w:val="24"/>
          <w:szCs w:val="24"/>
        </w:rPr>
      </w:pPr>
    </w:p>
    <w:p w:rsidR="00DC6DC6" w:rsidRPr="008322FE" w:rsidRDefault="00DC6DC6" w:rsidP="008322FE">
      <w:pPr>
        <w:pStyle w:val="ListParagraph"/>
        <w:numPr>
          <w:ilvl w:val="0"/>
          <w:numId w:val="41"/>
        </w:numPr>
        <w:spacing w:after="0" w:line="240" w:lineRule="auto"/>
        <w:jc w:val="both"/>
        <w:rPr>
          <w:rFonts w:ascii="Times New Roman" w:hAnsi="Times New Roman" w:cs="Times New Roman"/>
          <w:sz w:val="24"/>
          <w:szCs w:val="24"/>
        </w:rPr>
      </w:pPr>
      <w:r w:rsidRPr="008322FE">
        <w:rPr>
          <w:rFonts w:ascii="Times New Roman" w:hAnsi="Times New Roman" w:cs="Times New Roman"/>
          <w:sz w:val="24"/>
          <w:szCs w:val="24"/>
          <w:u w:val="single"/>
        </w:rPr>
        <w:t>L’arrêt du compte administratif 2019</w:t>
      </w:r>
      <w:r w:rsidRPr="008322FE">
        <w:rPr>
          <w:rFonts w:ascii="Times New Roman" w:hAnsi="Times New Roman" w:cs="Times New Roman"/>
          <w:sz w:val="24"/>
          <w:szCs w:val="24"/>
        </w:rPr>
        <w:t> : date limite au 31 juillet 2020 contre le 30 juin 2020.</w:t>
      </w:r>
    </w:p>
    <w:p w:rsidR="00DC6DC6" w:rsidRPr="008322FE" w:rsidRDefault="00DC6DC6" w:rsidP="008322FE">
      <w:pPr>
        <w:pStyle w:val="ListParagraph"/>
        <w:spacing w:after="0" w:line="240" w:lineRule="auto"/>
        <w:jc w:val="both"/>
        <w:rPr>
          <w:rFonts w:ascii="Times New Roman" w:hAnsi="Times New Roman" w:cs="Times New Roman"/>
          <w:sz w:val="24"/>
          <w:szCs w:val="24"/>
        </w:rPr>
      </w:pPr>
    </w:p>
    <w:p w:rsidR="00DC6DC6" w:rsidRPr="008322FE" w:rsidRDefault="00DC6DC6" w:rsidP="008322FE">
      <w:pPr>
        <w:pStyle w:val="ListParagraph"/>
        <w:numPr>
          <w:ilvl w:val="0"/>
          <w:numId w:val="41"/>
        </w:numPr>
        <w:spacing w:after="0" w:line="240" w:lineRule="auto"/>
        <w:jc w:val="both"/>
        <w:rPr>
          <w:rFonts w:ascii="Times New Roman" w:hAnsi="Times New Roman" w:cs="Times New Roman"/>
          <w:sz w:val="24"/>
          <w:szCs w:val="24"/>
        </w:rPr>
      </w:pPr>
      <w:r w:rsidRPr="008322FE">
        <w:rPr>
          <w:rFonts w:ascii="Times New Roman" w:hAnsi="Times New Roman" w:cs="Times New Roman"/>
          <w:sz w:val="24"/>
          <w:szCs w:val="24"/>
          <w:u w:val="single"/>
        </w:rPr>
        <w:t>L’information budgétaire des élus locaux</w:t>
      </w:r>
      <w:r w:rsidRPr="008322FE">
        <w:rPr>
          <w:rFonts w:ascii="Times New Roman" w:hAnsi="Times New Roman" w:cs="Times New Roman"/>
          <w:sz w:val="24"/>
          <w:szCs w:val="24"/>
        </w:rPr>
        <w:t xml:space="preserve"> : les délais afférents à la présentation du rapport d’orientation budgétaire (ROB) et à la tenue débat d’orientation budgétaire (DOB) sont suspendus. Ils pourront intervenir lors de la séance consacrée à l’adoption du budget primitif. </w:t>
      </w:r>
    </w:p>
    <w:p w:rsidR="00DC6DC6" w:rsidRPr="008322FE" w:rsidRDefault="00DC6DC6" w:rsidP="008322FE">
      <w:pPr>
        <w:jc w:val="both"/>
        <w:rPr>
          <w:rFonts w:ascii="Times New Roman" w:hAnsi="Times New Roman" w:cs="Times New Roman"/>
          <w:sz w:val="24"/>
          <w:szCs w:val="24"/>
        </w:rPr>
      </w:pPr>
    </w:p>
    <w:p w:rsidR="00DC6DC6" w:rsidRPr="008322FE" w:rsidRDefault="00DC6DC6" w:rsidP="008322FE">
      <w:pPr>
        <w:jc w:val="both"/>
        <w:rPr>
          <w:rFonts w:ascii="Times New Roman" w:hAnsi="Times New Roman" w:cs="Times New Roman"/>
          <w:sz w:val="24"/>
          <w:szCs w:val="24"/>
        </w:rPr>
      </w:pPr>
      <w:r w:rsidRPr="008322FE">
        <w:rPr>
          <w:rFonts w:ascii="Times New Roman" w:hAnsi="Times New Roman" w:cs="Times New Roman"/>
          <w:b/>
          <w:bCs/>
          <w:sz w:val="24"/>
          <w:szCs w:val="24"/>
        </w:rPr>
        <w:t xml:space="preserve">En outre, </w:t>
      </w:r>
      <w:r w:rsidRPr="008322FE">
        <w:rPr>
          <w:rFonts w:ascii="Times New Roman" w:hAnsi="Times New Roman" w:cs="Times New Roman"/>
          <w:b/>
          <w:bCs/>
          <w:sz w:val="24"/>
          <w:szCs w:val="24"/>
          <w:u w:val="single"/>
        </w:rPr>
        <w:t>en matière fiscale</w:t>
      </w:r>
      <w:r w:rsidRPr="008322FE">
        <w:rPr>
          <w:rFonts w:ascii="Times New Roman" w:hAnsi="Times New Roman" w:cs="Times New Roman"/>
          <w:b/>
          <w:bCs/>
          <w:sz w:val="24"/>
          <w:szCs w:val="24"/>
        </w:rPr>
        <w:t>, davantage de temps est laissé aux élus locaux pour décider des tarifs et taux des impositions locales</w:t>
      </w:r>
      <w:r w:rsidRPr="008322FE">
        <w:rPr>
          <w:rFonts w:ascii="Times New Roman" w:hAnsi="Times New Roman" w:cs="Times New Roman"/>
          <w:sz w:val="24"/>
          <w:szCs w:val="24"/>
        </w:rPr>
        <w:t>.</w:t>
      </w:r>
    </w:p>
    <w:p w:rsidR="00DC6DC6" w:rsidRPr="008322FE" w:rsidRDefault="00DC6DC6" w:rsidP="008322FE">
      <w:pPr>
        <w:pStyle w:val="ListParagraph"/>
        <w:numPr>
          <w:ilvl w:val="0"/>
          <w:numId w:val="41"/>
        </w:numPr>
        <w:spacing w:after="0" w:line="240" w:lineRule="auto"/>
        <w:jc w:val="both"/>
        <w:rPr>
          <w:rFonts w:ascii="Times New Roman" w:hAnsi="Times New Roman" w:cs="Times New Roman"/>
          <w:sz w:val="24"/>
          <w:szCs w:val="24"/>
        </w:rPr>
      </w:pPr>
      <w:r w:rsidRPr="008322FE">
        <w:rPr>
          <w:rFonts w:ascii="Times New Roman" w:hAnsi="Times New Roman" w:cs="Times New Roman"/>
          <w:sz w:val="24"/>
          <w:szCs w:val="24"/>
          <w:u w:val="single"/>
        </w:rPr>
        <w:t>Le vote des taux et tarif des impôts locaux par les collectivités territoriales</w:t>
      </w:r>
      <w:r w:rsidRPr="008322FE">
        <w:rPr>
          <w:rFonts w:ascii="Times New Roman" w:hAnsi="Times New Roman" w:cs="Times New Roman"/>
          <w:sz w:val="24"/>
          <w:szCs w:val="24"/>
        </w:rPr>
        <w:t xml:space="preserve"> (TFPB, TFPNB, CFE, TEOM, GEMAPI, etc.) : date limite reportée au 3 juillet 2020. En l’absence de délibération, les taux et tarifs 2019 seront prorogés.</w:t>
      </w:r>
    </w:p>
    <w:p w:rsidR="00DC6DC6" w:rsidRPr="008322FE" w:rsidRDefault="00DC6DC6" w:rsidP="008322FE">
      <w:pPr>
        <w:pStyle w:val="ListParagraph"/>
        <w:spacing w:after="0" w:line="240" w:lineRule="auto"/>
        <w:jc w:val="both"/>
        <w:rPr>
          <w:rFonts w:ascii="Times New Roman" w:hAnsi="Times New Roman" w:cs="Times New Roman"/>
          <w:sz w:val="24"/>
          <w:szCs w:val="24"/>
        </w:rPr>
      </w:pPr>
    </w:p>
    <w:p w:rsidR="00DC6DC6" w:rsidRPr="008322FE" w:rsidRDefault="00DC6DC6" w:rsidP="008322FE">
      <w:pPr>
        <w:pStyle w:val="ListParagraph"/>
        <w:numPr>
          <w:ilvl w:val="0"/>
          <w:numId w:val="41"/>
        </w:numPr>
        <w:spacing w:after="0" w:line="240" w:lineRule="auto"/>
        <w:jc w:val="both"/>
        <w:rPr>
          <w:rFonts w:ascii="Times New Roman" w:hAnsi="Times New Roman" w:cs="Times New Roman"/>
          <w:sz w:val="24"/>
          <w:szCs w:val="24"/>
        </w:rPr>
      </w:pPr>
      <w:r w:rsidRPr="008322FE">
        <w:rPr>
          <w:rFonts w:ascii="Times New Roman" w:hAnsi="Times New Roman" w:cs="Times New Roman"/>
          <w:sz w:val="24"/>
          <w:szCs w:val="24"/>
          <w:u w:val="single"/>
        </w:rPr>
        <w:t>L’adoption du coefficient de la taxe locale sur la consommation finale d’électricité (TCFE)</w:t>
      </w:r>
      <w:r w:rsidRPr="008322FE">
        <w:rPr>
          <w:rFonts w:ascii="Times New Roman" w:hAnsi="Times New Roman" w:cs="Times New Roman"/>
          <w:sz w:val="24"/>
          <w:szCs w:val="24"/>
        </w:rPr>
        <w:t> : date reportée au 1</w:t>
      </w:r>
      <w:r w:rsidRPr="008322FE">
        <w:rPr>
          <w:rFonts w:ascii="Times New Roman" w:hAnsi="Times New Roman" w:cs="Times New Roman"/>
          <w:sz w:val="24"/>
          <w:szCs w:val="24"/>
          <w:vertAlign w:val="superscript"/>
        </w:rPr>
        <w:t xml:space="preserve">er </w:t>
      </w:r>
      <w:r w:rsidRPr="008322FE">
        <w:rPr>
          <w:rFonts w:ascii="Times New Roman" w:hAnsi="Times New Roman" w:cs="Times New Roman"/>
          <w:sz w:val="24"/>
          <w:szCs w:val="24"/>
        </w:rPr>
        <w:t xml:space="preserve"> octobre 2020 contre le 1</w:t>
      </w:r>
      <w:r w:rsidRPr="008322FE">
        <w:rPr>
          <w:rFonts w:ascii="Times New Roman" w:hAnsi="Times New Roman" w:cs="Times New Roman"/>
          <w:sz w:val="24"/>
          <w:szCs w:val="24"/>
          <w:vertAlign w:val="superscript"/>
        </w:rPr>
        <w:t>er</w:t>
      </w:r>
      <w:r w:rsidRPr="008322FE">
        <w:rPr>
          <w:rFonts w:ascii="Times New Roman" w:hAnsi="Times New Roman" w:cs="Times New Roman"/>
          <w:sz w:val="24"/>
          <w:szCs w:val="24"/>
        </w:rPr>
        <w:t xml:space="preserve"> juillet 2020.</w:t>
      </w:r>
    </w:p>
    <w:p w:rsidR="00DC6DC6" w:rsidRPr="008322FE" w:rsidRDefault="00DC6DC6" w:rsidP="008322FE">
      <w:pPr>
        <w:pStyle w:val="ListParagraph"/>
        <w:spacing w:after="0" w:line="240" w:lineRule="auto"/>
        <w:jc w:val="both"/>
        <w:rPr>
          <w:rFonts w:ascii="Times New Roman" w:hAnsi="Times New Roman" w:cs="Times New Roman"/>
          <w:sz w:val="24"/>
          <w:szCs w:val="24"/>
        </w:rPr>
      </w:pPr>
    </w:p>
    <w:p w:rsidR="00DC6DC6" w:rsidRPr="008322FE" w:rsidRDefault="00DC6DC6" w:rsidP="008322FE">
      <w:pPr>
        <w:pStyle w:val="ListParagraph"/>
        <w:numPr>
          <w:ilvl w:val="0"/>
          <w:numId w:val="41"/>
        </w:numPr>
        <w:spacing w:after="0" w:line="240" w:lineRule="auto"/>
        <w:jc w:val="both"/>
        <w:rPr>
          <w:rFonts w:ascii="Times New Roman" w:hAnsi="Times New Roman" w:cs="Times New Roman"/>
          <w:sz w:val="24"/>
          <w:szCs w:val="24"/>
        </w:rPr>
      </w:pPr>
      <w:r w:rsidRPr="008322FE">
        <w:rPr>
          <w:rFonts w:ascii="Times New Roman" w:hAnsi="Times New Roman" w:cs="Times New Roman"/>
          <w:sz w:val="24"/>
          <w:szCs w:val="24"/>
          <w:u w:val="single"/>
        </w:rPr>
        <w:t>L’institution et la fixation des tarifs de la taxe locale sur la publicité extérieure (TLPE)</w:t>
      </w:r>
      <w:r w:rsidRPr="008322FE">
        <w:rPr>
          <w:rFonts w:ascii="Times New Roman" w:hAnsi="Times New Roman" w:cs="Times New Roman"/>
          <w:sz w:val="24"/>
          <w:szCs w:val="24"/>
        </w:rPr>
        <w:t> : date limite au 1</w:t>
      </w:r>
      <w:r w:rsidRPr="008322FE">
        <w:rPr>
          <w:rFonts w:ascii="Times New Roman" w:hAnsi="Times New Roman" w:cs="Times New Roman"/>
          <w:sz w:val="24"/>
          <w:szCs w:val="24"/>
          <w:vertAlign w:val="superscript"/>
        </w:rPr>
        <w:t>er</w:t>
      </w:r>
      <w:r w:rsidRPr="008322FE">
        <w:rPr>
          <w:rFonts w:ascii="Times New Roman" w:hAnsi="Times New Roman" w:cs="Times New Roman"/>
          <w:sz w:val="24"/>
          <w:szCs w:val="24"/>
        </w:rPr>
        <w:t xml:space="preserve"> octobre 2020 contre le  1</w:t>
      </w:r>
      <w:r w:rsidRPr="008322FE">
        <w:rPr>
          <w:rFonts w:ascii="Times New Roman" w:hAnsi="Times New Roman" w:cs="Times New Roman"/>
          <w:sz w:val="24"/>
          <w:szCs w:val="24"/>
          <w:vertAlign w:val="superscript"/>
        </w:rPr>
        <w:t>er</w:t>
      </w:r>
      <w:r w:rsidRPr="008322FE">
        <w:rPr>
          <w:rFonts w:ascii="Times New Roman" w:hAnsi="Times New Roman" w:cs="Times New Roman"/>
          <w:sz w:val="24"/>
          <w:szCs w:val="24"/>
        </w:rPr>
        <w:t xml:space="preserve"> juillet 2020.</w:t>
      </w:r>
    </w:p>
    <w:p w:rsidR="00DC6DC6" w:rsidRPr="008322FE" w:rsidRDefault="00DC6DC6" w:rsidP="008322FE">
      <w:pPr>
        <w:pStyle w:val="ListParagraph"/>
        <w:spacing w:after="0" w:line="240" w:lineRule="auto"/>
        <w:jc w:val="both"/>
        <w:rPr>
          <w:rFonts w:ascii="Times New Roman" w:hAnsi="Times New Roman" w:cs="Times New Roman"/>
          <w:sz w:val="24"/>
          <w:szCs w:val="24"/>
        </w:rPr>
      </w:pPr>
    </w:p>
    <w:p w:rsidR="00DC6DC6" w:rsidRDefault="00DC6DC6" w:rsidP="008322FE">
      <w:pPr>
        <w:pStyle w:val="ListParagraph"/>
        <w:numPr>
          <w:ilvl w:val="0"/>
          <w:numId w:val="41"/>
        </w:numPr>
        <w:spacing w:after="0" w:line="240" w:lineRule="auto"/>
        <w:jc w:val="both"/>
        <w:rPr>
          <w:rFonts w:ascii="Times New Roman" w:hAnsi="Times New Roman" w:cs="Times New Roman"/>
          <w:sz w:val="24"/>
          <w:szCs w:val="24"/>
        </w:rPr>
      </w:pPr>
      <w:r w:rsidRPr="008322FE">
        <w:rPr>
          <w:rFonts w:ascii="Times New Roman" w:hAnsi="Times New Roman" w:cs="Times New Roman"/>
          <w:sz w:val="24"/>
          <w:szCs w:val="24"/>
          <w:u w:val="single"/>
        </w:rPr>
        <w:t>L’institution de la redevance d’enlèvement des ordures ménagères (REOM) par les syndicats mixtes compétents</w:t>
      </w:r>
      <w:r w:rsidRPr="008322FE">
        <w:rPr>
          <w:rFonts w:ascii="Times New Roman" w:hAnsi="Times New Roman" w:cs="Times New Roman"/>
          <w:sz w:val="24"/>
          <w:szCs w:val="24"/>
        </w:rPr>
        <w:t> : date limite du 1</w:t>
      </w:r>
      <w:r w:rsidRPr="008322FE">
        <w:rPr>
          <w:rFonts w:ascii="Times New Roman" w:hAnsi="Times New Roman" w:cs="Times New Roman"/>
          <w:sz w:val="24"/>
          <w:szCs w:val="24"/>
          <w:vertAlign w:val="superscript"/>
        </w:rPr>
        <w:t>er</w:t>
      </w:r>
      <w:r w:rsidRPr="008322FE">
        <w:rPr>
          <w:rFonts w:ascii="Times New Roman" w:hAnsi="Times New Roman" w:cs="Times New Roman"/>
          <w:sz w:val="24"/>
          <w:szCs w:val="24"/>
        </w:rPr>
        <w:t xml:space="preserve"> septembre 2020 contre le 1</w:t>
      </w:r>
      <w:r w:rsidRPr="008322FE">
        <w:rPr>
          <w:rFonts w:ascii="Times New Roman" w:hAnsi="Times New Roman" w:cs="Times New Roman"/>
          <w:sz w:val="24"/>
          <w:szCs w:val="24"/>
          <w:vertAlign w:val="superscript"/>
        </w:rPr>
        <w:t>er</w:t>
      </w:r>
      <w:r w:rsidRPr="008322FE">
        <w:rPr>
          <w:rFonts w:ascii="Times New Roman" w:hAnsi="Times New Roman" w:cs="Times New Roman"/>
          <w:sz w:val="24"/>
          <w:szCs w:val="24"/>
        </w:rPr>
        <w:t xml:space="preserve"> juillet 2020.</w:t>
      </w:r>
    </w:p>
    <w:p w:rsidR="00DC6DC6" w:rsidRPr="008322FE" w:rsidRDefault="00DC6DC6" w:rsidP="008322FE">
      <w:pPr>
        <w:pStyle w:val="ListParagraph"/>
        <w:rPr>
          <w:rFonts w:ascii="Times New Roman" w:hAnsi="Times New Roman" w:cs="Times New Roman"/>
          <w:sz w:val="24"/>
          <w:szCs w:val="24"/>
          <w:u w:val="single"/>
        </w:rPr>
      </w:pPr>
    </w:p>
    <w:p w:rsidR="00DC6DC6" w:rsidRPr="008322FE" w:rsidRDefault="00DC6DC6" w:rsidP="008322FE">
      <w:pPr>
        <w:pStyle w:val="ListParagraph"/>
        <w:numPr>
          <w:ilvl w:val="0"/>
          <w:numId w:val="41"/>
        </w:numPr>
        <w:spacing w:after="0" w:line="240" w:lineRule="auto"/>
        <w:jc w:val="both"/>
        <w:rPr>
          <w:rFonts w:ascii="Times New Roman" w:hAnsi="Times New Roman" w:cs="Times New Roman"/>
          <w:sz w:val="24"/>
          <w:szCs w:val="24"/>
        </w:rPr>
      </w:pPr>
      <w:r w:rsidRPr="008322FE">
        <w:rPr>
          <w:rFonts w:ascii="Times New Roman" w:hAnsi="Times New Roman" w:cs="Times New Roman"/>
          <w:sz w:val="24"/>
          <w:szCs w:val="24"/>
          <w:u w:val="single"/>
        </w:rPr>
        <w:t xml:space="preserve">Les droits d’enregistrement et de la taxe de publicité foncière (DMTO) </w:t>
      </w:r>
      <w:r w:rsidRPr="008322FE">
        <w:rPr>
          <w:rFonts w:ascii="Times New Roman" w:hAnsi="Times New Roman" w:cs="Times New Roman"/>
          <w:sz w:val="24"/>
          <w:szCs w:val="24"/>
        </w:rPr>
        <w:t>: le taux adopté par les départements  avant le 3 juillet 2020 entrera en vigueur le 1</w:t>
      </w:r>
      <w:r w:rsidRPr="008322FE">
        <w:rPr>
          <w:rFonts w:ascii="Times New Roman" w:hAnsi="Times New Roman" w:cs="Times New Roman"/>
          <w:sz w:val="24"/>
          <w:szCs w:val="24"/>
          <w:vertAlign w:val="superscript"/>
        </w:rPr>
        <w:t>er</w:t>
      </w:r>
      <w:r w:rsidRPr="008322FE">
        <w:rPr>
          <w:rFonts w:ascii="Times New Roman" w:hAnsi="Times New Roman" w:cs="Times New Roman"/>
          <w:sz w:val="24"/>
          <w:szCs w:val="24"/>
        </w:rPr>
        <w:t xml:space="preserve"> septembre 2020, contre le 1</w:t>
      </w:r>
      <w:r w:rsidRPr="008322FE">
        <w:rPr>
          <w:rFonts w:ascii="Times New Roman" w:hAnsi="Times New Roman" w:cs="Times New Roman"/>
          <w:sz w:val="24"/>
          <w:szCs w:val="24"/>
          <w:vertAlign w:val="superscript"/>
        </w:rPr>
        <w:t>er</w:t>
      </w:r>
      <w:r w:rsidRPr="008322FE">
        <w:rPr>
          <w:rFonts w:ascii="Times New Roman" w:hAnsi="Times New Roman" w:cs="Times New Roman"/>
          <w:sz w:val="24"/>
          <w:szCs w:val="24"/>
        </w:rPr>
        <w:t xml:space="preserve"> juin habituellement.</w:t>
      </w:r>
    </w:p>
    <w:p w:rsidR="00DC6DC6" w:rsidRPr="008322FE" w:rsidRDefault="00DC6DC6" w:rsidP="008322FE">
      <w:pPr>
        <w:pStyle w:val="ListParagraph"/>
        <w:spacing w:after="0" w:line="240" w:lineRule="auto"/>
        <w:jc w:val="both"/>
        <w:rPr>
          <w:rFonts w:ascii="Times New Roman" w:hAnsi="Times New Roman" w:cs="Times New Roman"/>
          <w:sz w:val="24"/>
          <w:szCs w:val="24"/>
        </w:rPr>
      </w:pPr>
    </w:p>
    <w:p w:rsidR="00DC6DC6" w:rsidRPr="008322FE" w:rsidRDefault="00DC6DC6" w:rsidP="008322FE">
      <w:pPr>
        <w:pStyle w:val="NoSpacing"/>
        <w:jc w:val="both"/>
        <w:rPr>
          <w:rFonts w:ascii="Times New Roman" w:hAnsi="Times New Roman" w:cs="Times New Roman"/>
          <w:sz w:val="24"/>
          <w:szCs w:val="24"/>
        </w:rPr>
      </w:pPr>
      <w:r w:rsidRPr="008322FE">
        <w:rPr>
          <w:rFonts w:ascii="Times New Roman" w:hAnsi="Times New Roman" w:cs="Times New Roman"/>
          <w:sz w:val="24"/>
          <w:szCs w:val="24"/>
        </w:rPr>
        <w:t xml:space="preserve">En outre, pour que les collectivités territoriales et leurs groupements puissent continuer à fonctionner dans cette période de crise sanitaire, même en cas de non-adoption de leur budget primitif, </w:t>
      </w:r>
      <w:r w:rsidRPr="008322FE">
        <w:rPr>
          <w:rFonts w:ascii="Times New Roman" w:hAnsi="Times New Roman" w:cs="Times New Roman"/>
          <w:b/>
          <w:bCs/>
          <w:sz w:val="24"/>
          <w:szCs w:val="24"/>
        </w:rPr>
        <w:t>des mesures de souplesse budgétaire sont prévues</w:t>
      </w:r>
      <w:r w:rsidRPr="008322FE">
        <w:rPr>
          <w:rFonts w:ascii="Times New Roman" w:hAnsi="Times New Roman" w:cs="Times New Roman"/>
          <w:sz w:val="24"/>
          <w:szCs w:val="24"/>
        </w:rPr>
        <w:t xml:space="preserve">. </w:t>
      </w:r>
    </w:p>
    <w:p w:rsidR="00DC6DC6" w:rsidRPr="008322FE" w:rsidRDefault="00DC6DC6" w:rsidP="008322FE">
      <w:pPr>
        <w:pStyle w:val="NoSpacing"/>
        <w:jc w:val="both"/>
        <w:rPr>
          <w:rFonts w:ascii="Times New Roman" w:hAnsi="Times New Roman" w:cs="Times New Roman"/>
          <w:sz w:val="24"/>
          <w:szCs w:val="24"/>
        </w:rPr>
      </w:pPr>
    </w:p>
    <w:p w:rsidR="00DC6DC6" w:rsidRPr="008322FE" w:rsidRDefault="00DC6DC6" w:rsidP="008322FE">
      <w:pPr>
        <w:pStyle w:val="NoSpacing"/>
        <w:numPr>
          <w:ilvl w:val="0"/>
          <w:numId w:val="41"/>
        </w:numPr>
        <w:jc w:val="both"/>
        <w:rPr>
          <w:rFonts w:ascii="Times New Roman" w:hAnsi="Times New Roman" w:cs="Times New Roman"/>
          <w:sz w:val="24"/>
          <w:szCs w:val="24"/>
        </w:rPr>
      </w:pPr>
      <w:r w:rsidRPr="008322FE">
        <w:rPr>
          <w:rFonts w:ascii="Times New Roman" w:hAnsi="Times New Roman" w:cs="Times New Roman"/>
          <w:sz w:val="24"/>
          <w:szCs w:val="24"/>
          <w:u w:val="single"/>
        </w:rPr>
        <w:t>Les dépenses d’investissement</w:t>
      </w:r>
      <w:r w:rsidRPr="008322FE">
        <w:rPr>
          <w:rFonts w:ascii="Times New Roman" w:hAnsi="Times New Roman" w:cs="Times New Roman"/>
          <w:sz w:val="24"/>
          <w:szCs w:val="24"/>
        </w:rPr>
        <w:t xml:space="preserve"> : en l’absence de vote du budget, les collectivités territoriales, leurs établissements et les EPCI pourront continuer à engager, liquider et mandater les dépenses d’investissement dans la limite des dépenses inscrites dans le budget précédent. En ce qui concerne les dépenses de fonctionnement, l’article L. 1612-1 du code général des collectivités territoriales (CGCT) permet d’ores-et-déjà à l’exécutif de la collectivité de décider d’exécuter les dépenses de la section de fonctionnement dans la limite de celles inscrites au budget de l’année précédente. </w:t>
      </w:r>
    </w:p>
    <w:p w:rsidR="00DC6DC6" w:rsidRPr="008322FE" w:rsidRDefault="00DC6DC6" w:rsidP="008322FE">
      <w:pPr>
        <w:pStyle w:val="NoSpacing"/>
        <w:jc w:val="both"/>
        <w:rPr>
          <w:rFonts w:ascii="Times New Roman" w:hAnsi="Times New Roman" w:cs="Times New Roman"/>
          <w:sz w:val="24"/>
          <w:szCs w:val="24"/>
        </w:rPr>
      </w:pPr>
    </w:p>
    <w:p w:rsidR="00DC6DC6" w:rsidRDefault="00DC6DC6" w:rsidP="008322FE">
      <w:pPr>
        <w:pStyle w:val="NoSpacing"/>
        <w:numPr>
          <w:ilvl w:val="0"/>
          <w:numId w:val="41"/>
        </w:numPr>
        <w:jc w:val="both"/>
        <w:rPr>
          <w:rFonts w:ascii="Times New Roman" w:hAnsi="Times New Roman" w:cs="Times New Roman"/>
          <w:sz w:val="24"/>
          <w:szCs w:val="24"/>
        </w:rPr>
      </w:pPr>
      <w:r w:rsidRPr="008322FE">
        <w:rPr>
          <w:rFonts w:ascii="Times New Roman" w:hAnsi="Times New Roman" w:cs="Times New Roman"/>
          <w:sz w:val="24"/>
          <w:szCs w:val="24"/>
          <w:u w:val="single"/>
        </w:rPr>
        <w:t>Les dépenses imprévues</w:t>
      </w:r>
      <w:r w:rsidRPr="008322FE">
        <w:rPr>
          <w:rFonts w:ascii="Times New Roman" w:hAnsi="Times New Roman" w:cs="Times New Roman"/>
          <w:sz w:val="24"/>
          <w:szCs w:val="24"/>
        </w:rPr>
        <w:t xml:space="preserve"> : le plafond sera porté à 15 % (contre 7,5 % ou 2 % aujourd’hui) des dépenses prévisionnelles de chaque section. </w:t>
      </w:r>
    </w:p>
    <w:p w:rsidR="00DC6DC6" w:rsidRDefault="00DC6DC6" w:rsidP="008322FE">
      <w:pPr>
        <w:pStyle w:val="ListParagraph"/>
        <w:rPr>
          <w:rFonts w:ascii="Times New Roman" w:hAnsi="Times New Roman" w:cs="Times New Roman"/>
          <w:sz w:val="24"/>
          <w:szCs w:val="24"/>
          <w:u w:val="single"/>
        </w:rPr>
      </w:pPr>
    </w:p>
    <w:p w:rsidR="00DC6DC6" w:rsidRPr="00C72E1A" w:rsidRDefault="00DC6DC6" w:rsidP="008322FE">
      <w:pPr>
        <w:pStyle w:val="NoSpacing"/>
        <w:numPr>
          <w:ilvl w:val="0"/>
          <w:numId w:val="41"/>
        </w:numPr>
        <w:jc w:val="both"/>
        <w:rPr>
          <w:rFonts w:ascii="Times New Roman" w:hAnsi="Times New Roman" w:cs="Times New Roman"/>
          <w:sz w:val="24"/>
          <w:szCs w:val="24"/>
          <w:highlight w:val="yellow"/>
        </w:rPr>
      </w:pPr>
      <w:r w:rsidRPr="00C72E1A">
        <w:rPr>
          <w:rFonts w:ascii="Times New Roman" w:hAnsi="Times New Roman" w:cs="Times New Roman"/>
          <w:sz w:val="24"/>
          <w:szCs w:val="24"/>
          <w:highlight w:val="yellow"/>
          <w:u w:val="single"/>
        </w:rPr>
        <w:t>Les mouvements entre chapitres </w:t>
      </w:r>
      <w:r w:rsidRPr="00C72E1A">
        <w:rPr>
          <w:rFonts w:ascii="Times New Roman" w:hAnsi="Times New Roman" w:cs="Times New Roman"/>
          <w:sz w:val="24"/>
          <w:szCs w:val="24"/>
          <w:highlight w:val="yellow"/>
        </w:rPr>
        <w:t>: dispositif déjà existant pour les régions, métropoles, collectivités territoriales de Corse, Guyane et Martinique. Ils seront facilités, sur décision de l’exécutif, et dans la limite de 15% des dépenses de chaque section ; ils seront également possibles pour l'ensemble des collectivités, de leurs établissements publics et EPCI avant le vote du budget.</w:t>
      </w:r>
    </w:p>
    <w:p w:rsidR="00DC6DC6" w:rsidRPr="008322FE" w:rsidRDefault="00DC6DC6" w:rsidP="008322FE">
      <w:pPr>
        <w:pStyle w:val="NoSpacing"/>
        <w:jc w:val="both"/>
        <w:rPr>
          <w:rFonts w:ascii="Times New Roman" w:hAnsi="Times New Roman" w:cs="Times New Roman"/>
          <w:sz w:val="24"/>
          <w:szCs w:val="24"/>
        </w:rPr>
      </w:pPr>
    </w:p>
    <w:p w:rsidR="00DC6DC6" w:rsidRPr="008322FE" w:rsidRDefault="00DC6DC6" w:rsidP="008322FE">
      <w:pPr>
        <w:pStyle w:val="NoSpacing"/>
        <w:numPr>
          <w:ilvl w:val="0"/>
          <w:numId w:val="41"/>
        </w:numPr>
        <w:jc w:val="both"/>
        <w:rPr>
          <w:rFonts w:ascii="Times New Roman" w:hAnsi="Times New Roman" w:cs="Times New Roman"/>
          <w:sz w:val="24"/>
          <w:szCs w:val="24"/>
        </w:rPr>
      </w:pPr>
      <w:r w:rsidRPr="008322FE">
        <w:rPr>
          <w:rFonts w:ascii="Times New Roman" w:hAnsi="Times New Roman" w:cs="Times New Roman"/>
          <w:sz w:val="24"/>
          <w:szCs w:val="24"/>
          <w:u w:val="single"/>
        </w:rPr>
        <w:t>Le recours à l’emprunt</w:t>
      </w:r>
      <w:r w:rsidRPr="008322FE">
        <w:rPr>
          <w:rFonts w:ascii="Times New Roman" w:hAnsi="Times New Roman" w:cs="Times New Roman"/>
          <w:sz w:val="24"/>
          <w:szCs w:val="24"/>
        </w:rPr>
        <w:t> : l’ordonnance prévoit que les délégations à l’exécutif des communes et de leurs groupements et la métropole de Lyon pour réaliser des emprunts, qui ont pris fin avec le début de la campagne électorale,  seront rétablies jusqu’à la prochaine réunion de l’assemblée délibérante.</w:t>
      </w:r>
    </w:p>
    <w:p w:rsidR="00DC6DC6" w:rsidRDefault="00DC6DC6">
      <w:pPr>
        <w:rPr>
          <w:rFonts w:ascii="Times New Roman" w:hAnsi="Times New Roman" w:cs="Times New Roman"/>
          <w:b/>
          <w:bCs/>
          <w:color w:val="1F3864"/>
          <w:sz w:val="24"/>
          <w:szCs w:val="24"/>
          <w:u w:val="single"/>
        </w:rPr>
      </w:pPr>
    </w:p>
    <w:p w:rsidR="00DC6DC6" w:rsidRPr="008322FE" w:rsidRDefault="00DC6DC6" w:rsidP="008322FE">
      <w:pPr>
        <w:pStyle w:val="ListParagraph"/>
        <w:numPr>
          <w:ilvl w:val="0"/>
          <w:numId w:val="40"/>
        </w:numPr>
        <w:spacing w:after="0" w:line="240" w:lineRule="auto"/>
        <w:ind w:left="709"/>
        <w:jc w:val="both"/>
        <w:rPr>
          <w:rFonts w:ascii="Times New Roman" w:hAnsi="Times New Roman" w:cs="Times New Roman"/>
          <w:b/>
          <w:bCs/>
          <w:color w:val="1F3864"/>
          <w:sz w:val="24"/>
          <w:szCs w:val="24"/>
        </w:rPr>
      </w:pPr>
      <w:r w:rsidRPr="008322FE">
        <w:rPr>
          <w:rFonts w:ascii="Times New Roman" w:hAnsi="Times New Roman" w:cs="Times New Roman"/>
          <w:b/>
          <w:bCs/>
          <w:color w:val="1F3864"/>
          <w:sz w:val="24"/>
          <w:szCs w:val="24"/>
        </w:rPr>
        <w:t>Ordonnance portant diverses mesures d’adaptation des règles de procédure et d’exécution des contrats de la commande publique pendant la crise sanitaire liée à l’épidémie de Covid-19</w:t>
      </w:r>
    </w:p>
    <w:p w:rsidR="00DC6DC6" w:rsidRPr="008322FE" w:rsidRDefault="00DC6DC6" w:rsidP="008322FE">
      <w:pPr>
        <w:pStyle w:val="NoSpacing"/>
        <w:jc w:val="both"/>
        <w:rPr>
          <w:rFonts w:ascii="Times New Roman" w:hAnsi="Times New Roman" w:cs="Times New Roman"/>
          <w:sz w:val="24"/>
          <w:szCs w:val="24"/>
        </w:rPr>
      </w:pPr>
    </w:p>
    <w:p w:rsidR="00DC6DC6" w:rsidRPr="008322FE" w:rsidRDefault="00DC6DC6" w:rsidP="008322FE">
      <w:pPr>
        <w:jc w:val="both"/>
        <w:rPr>
          <w:rFonts w:ascii="Times New Roman" w:hAnsi="Times New Roman" w:cs="Times New Roman"/>
          <w:sz w:val="24"/>
          <w:szCs w:val="24"/>
        </w:rPr>
      </w:pPr>
      <w:bookmarkStart w:id="1" w:name="__DdeLink__560_3838926523"/>
      <w:r w:rsidRPr="008322FE">
        <w:rPr>
          <w:rFonts w:ascii="Times New Roman" w:hAnsi="Times New Roman" w:cs="Times New Roman"/>
          <w:sz w:val="24"/>
          <w:szCs w:val="24"/>
        </w:rPr>
        <w:t xml:space="preserve">Elle comporte les mesures nécessaires à </w:t>
      </w:r>
      <w:r w:rsidRPr="008322FE">
        <w:rPr>
          <w:rFonts w:ascii="Times New Roman" w:hAnsi="Times New Roman" w:cs="Times New Roman"/>
          <w:b/>
          <w:bCs/>
          <w:sz w:val="24"/>
          <w:szCs w:val="24"/>
        </w:rPr>
        <w:t>l’assouplissement des règles applicables à la passation et à l’exécution des contrats de la commande publique</w:t>
      </w:r>
      <w:r w:rsidRPr="008322FE">
        <w:rPr>
          <w:rFonts w:ascii="Times New Roman" w:hAnsi="Times New Roman" w:cs="Times New Roman"/>
          <w:sz w:val="24"/>
          <w:szCs w:val="24"/>
        </w:rPr>
        <w:t xml:space="preserve"> qui seraient compromis du fait de l’épidémie de Covid-19, afin de ne pas pénaliser les opérateurs économiques et de permettre la continuité de la commande publique. </w:t>
      </w:r>
    </w:p>
    <w:p w:rsidR="00DC6DC6" w:rsidRPr="008322FE" w:rsidRDefault="00DC6DC6" w:rsidP="008322FE">
      <w:pPr>
        <w:jc w:val="both"/>
        <w:rPr>
          <w:rFonts w:ascii="Times New Roman" w:hAnsi="Times New Roman" w:cs="Times New Roman"/>
          <w:sz w:val="24"/>
          <w:szCs w:val="24"/>
        </w:rPr>
      </w:pPr>
      <w:r w:rsidRPr="008322FE">
        <w:rPr>
          <w:rFonts w:ascii="Times New Roman" w:hAnsi="Times New Roman" w:cs="Times New Roman"/>
          <w:sz w:val="24"/>
          <w:szCs w:val="24"/>
        </w:rPr>
        <w:t xml:space="preserve">Pour faciliter la candidature des opérateurs économiques à l’attribution des contrats pour lesquels une procédure de passation a été engagée, </w:t>
      </w:r>
      <w:r w:rsidRPr="00D272AF">
        <w:rPr>
          <w:rFonts w:ascii="Times New Roman" w:hAnsi="Times New Roman" w:cs="Times New Roman"/>
          <w:b/>
          <w:bCs/>
          <w:sz w:val="24"/>
          <w:szCs w:val="24"/>
        </w:rPr>
        <w:t>les acheteurs peuvent prolonger les délais de réception des offres et adapter les modalités de la mise en concurrence en cours de procédure</w:t>
      </w:r>
      <w:r w:rsidRPr="008322FE">
        <w:rPr>
          <w:rFonts w:ascii="Times New Roman" w:hAnsi="Times New Roman" w:cs="Times New Roman"/>
          <w:sz w:val="24"/>
          <w:szCs w:val="24"/>
        </w:rPr>
        <w:t>.</w:t>
      </w:r>
    </w:p>
    <w:p w:rsidR="00DC6DC6" w:rsidRPr="008322FE" w:rsidRDefault="00DC6DC6" w:rsidP="008322FE">
      <w:pPr>
        <w:jc w:val="both"/>
        <w:rPr>
          <w:rFonts w:ascii="Times New Roman" w:hAnsi="Times New Roman" w:cs="Times New Roman"/>
          <w:sz w:val="24"/>
          <w:szCs w:val="24"/>
        </w:rPr>
      </w:pPr>
      <w:r w:rsidRPr="008322FE">
        <w:rPr>
          <w:rFonts w:ascii="Times New Roman" w:hAnsi="Times New Roman" w:cs="Times New Roman"/>
          <w:sz w:val="24"/>
          <w:szCs w:val="24"/>
        </w:rPr>
        <w:t xml:space="preserve">Afin de pallier les difficultés susceptibles d’être rencontrées par les opérateurs économiques dans l’exécution des marchés et d’éviter les ruptures d’approvisionnement pour les acheteurs, </w:t>
      </w:r>
      <w:r w:rsidRPr="00D272AF">
        <w:rPr>
          <w:rFonts w:ascii="Times New Roman" w:hAnsi="Times New Roman" w:cs="Times New Roman"/>
          <w:b/>
          <w:bCs/>
          <w:sz w:val="24"/>
          <w:szCs w:val="24"/>
        </w:rPr>
        <w:t>les marchés publics qui arrivent à échéance pendant cette période peuvent en outre être prolongés par avenant si une nouvelle procédure de mise en concurrence ne peut être engagée</w:t>
      </w:r>
      <w:r w:rsidRPr="008322FE">
        <w:rPr>
          <w:rFonts w:ascii="Times New Roman" w:hAnsi="Times New Roman" w:cs="Times New Roman"/>
          <w:sz w:val="24"/>
          <w:szCs w:val="24"/>
        </w:rPr>
        <w:t xml:space="preserve">, et les autorités contractantes sont </w:t>
      </w:r>
      <w:r w:rsidRPr="008322FE">
        <w:rPr>
          <w:rFonts w:ascii="Times New Roman" w:hAnsi="Times New Roman" w:cs="Times New Roman"/>
          <w:b/>
          <w:bCs/>
          <w:sz w:val="24"/>
          <w:szCs w:val="24"/>
        </w:rPr>
        <w:t>autorisées à s’approvisionner auprès de tiers, par des marchés de substitution, nonobstant d’éventuelles clauses d’exclusivité</w:t>
      </w:r>
      <w:r w:rsidRPr="008322FE">
        <w:rPr>
          <w:rFonts w:ascii="Times New Roman" w:hAnsi="Times New Roman" w:cs="Times New Roman"/>
          <w:sz w:val="24"/>
          <w:szCs w:val="24"/>
        </w:rPr>
        <w:t xml:space="preserve">. </w:t>
      </w:r>
    </w:p>
    <w:p w:rsidR="00DC6DC6" w:rsidRPr="008322FE" w:rsidRDefault="00DC6DC6" w:rsidP="008322FE">
      <w:pPr>
        <w:jc w:val="both"/>
        <w:rPr>
          <w:rFonts w:ascii="Times New Roman" w:hAnsi="Times New Roman" w:cs="Times New Roman"/>
          <w:sz w:val="24"/>
          <w:szCs w:val="24"/>
        </w:rPr>
      </w:pPr>
      <w:r w:rsidRPr="008322FE">
        <w:rPr>
          <w:rFonts w:ascii="Times New Roman" w:hAnsi="Times New Roman" w:cs="Times New Roman"/>
          <w:sz w:val="24"/>
          <w:szCs w:val="24"/>
        </w:rPr>
        <w:t xml:space="preserve">Afin de ne pas pénaliser les opérateurs économiques qui sont empêchés d’honorer leurs engagements contractuels du fait de l’épidémie, des mesures doivent également être prises pour </w:t>
      </w:r>
      <w:r w:rsidRPr="008322FE">
        <w:rPr>
          <w:rFonts w:ascii="Times New Roman" w:hAnsi="Times New Roman" w:cs="Times New Roman"/>
          <w:b/>
          <w:bCs/>
          <w:sz w:val="24"/>
          <w:szCs w:val="24"/>
        </w:rPr>
        <w:t>faire obstacle aux clauses contractuelles relatives aux sanctions</w:t>
      </w:r>
      <w:r w:rsidRPr="008322FE">
        <w:rPr>
          <w:rFonts w:ascii="Times New Roman" w:hAnsi="Times New Roman" w:cs="Times New Roman"/>
          <w:sz w:val="24"/>
          <w:szCs w:val="24"/>
        </w:rPr>
        <w:t xml:space="preserve"> </w:t>
      </w:r>
      <w:r w:rsidRPr="008322FE">
        <w:rPr>
          <w:rFonts w:ascii="Times New Roman" w:hAnsi="Times New Roman" w:cs="Times New Roman"/>
          <w:b/>
          <w:bCs/>
          <w:sz w:val="24"/>
          <w:szCs w:val="24"/>
        </w:rPr>
        <w:t>et aux pénalités</w:t>
      </w:r>
      <w:r w:rsidRPr="008322FE">
        <w:rPr>
          <w:rFonts w:ascii="Times New Roman" w:hAnsi="Times New Roman" w:cs="Times New Roman"/>
          <w:sz w:val="24"/>
          <w:szCs w:val="24"/>
        </w:rPr>
        <w:t xml:space="preserve"> pouvant être infligées aux titulaires et prévoir </w:t>
      </w:r>
      <w:r w:rsidRPr="008322FE">
        <w:rPr>
          <w:rFonts w:ascii="Times New Roman" w:hAnsi="Times New Roman" w:cs="Times New Roman"/>
          <w:b/>
          <w:bCs/>
          <w:sz w:val="24"/>
          <w:szCs w:val="24"/>
        </w:rPr>
        <w:t>leur indemnisation en cas de résiliation</w:t>
      </w:r>
      <w:r w:rsidRPr="008322FE">
        <w:rPr>
          <w:rFonts w:ascii="Times New Roman" w:hAnsi="Times New Roman" w:cs="Times New Roman"/>
          <w:sz w:val="24"/>
          <w:szCs w:val="24"/>
        </w:rPr>
        <w:t xml:space="preserve"> du contrat ou d’annulation de bons de commande. </w:t>
      </w:r>
    </w:p>
    <w:p w:rsidR="00DC6DC6" w:rsidRPr="008322FE" w:rsidRDefault="00DC6DC6" w:rsidP="008322FE">
      <w:pPr>
        <w:jc w:val="both"/>
        <w:rPr>
          <w:rFonts w:ascii="Times New Roman" w:hAnsi="Times New Roman" w:cs="Times New Roman"/>
          <w:sz w:val="24"/>
          <w:szCs w:val="24"/>
        </w:rPr>
      </w:pPr>
      <w:r w:rsidRPr="008322FE">
        <w:rPr>
          <w:rFonts w:ascii="Times New Roman" w:hAnsi="Times New Roman" w:cs="Times New Roman"/>
          <w:sz w:val="24"/>
          <w:szCs w:val="24"/>
        </w:rPr>
        <w:t xml:space="preserve">Il est en outre nécessaire </w:t>
      </w:r>
      <w:r w:rsidRPr="008322FE">
        <w:rPr>
          <w:rFonts w:ascii="Times New Roman" w:hAnsi="Times New Roman" w:cs="Times New Roman"/>
          <w:b/>
          <w:bCs/>
          <w:sz w:val="24"/>
          <w:szCs w:val="24"/>
        </w:rPr>
        <w:t>d’assouplir les règles d’exécution financières des contrats de la commande publique</w:t>
      </w:r>
      <w:r w:rsidRPr="008322FE">
        <w:rPr>
          <w:rFonts w:ascii="Times New Roman" w:hAnsi="Times New Roman" w:cs="Times New Roman"/>
          <w:sz w:val="24"/>
          <w:szCs w:val="24"/>
        </w:rPr>
        <w:t xml:space="preserve">, notamment en permettant aux acheteurs de </w:t>
      </w:r>
      <w:r w:rsidRPr="008322FE">
        <w:rPr>
          <w:rFonts w:ascii="Times New Roman" w:hAnsi="Times New Roman" w:cs="Times New Roman"/>
          <w:b/>
          <w:bCs/>
          <w:sz w:val="24"/>
          <w:szCs w:val="24"/>
        </w:rPr>
        <w:t>verser des avances d’un montant supérieur au taux maximal de 60%</w:t>
      </w:r>
      <w:r w:rsidRPr="008322FE">
        <w:rPr>
          <w:rFonts w:ascii="Times New Roman" w:hAnsi="Times New Roman" w:cs="Times New Roman"/>
          <w:sz w:val="24"/>
          <w:szCs w:val="24"/>
        </w:rPr>
        <w:t xml:space="preserve"> prévu par le code de la commande publique.</w:t>
      </w:r>
      <w:bookmarkEnd w:id="1"/>
    </w:p>
    <w:p w:rsidR="00DC6DC6" w:rsidRPr="008322FE" w:rsidRDefault="00DC6DC6" w:rsidP="008322FE">
      <w:pPr>
        <w:jc w:val="both"/>
        <w:rPr>
          <w:rFonts w:ascii="Times New Roman" w:hAnsi="Times New Roman" w:cs="Times New Roman"/>
          <w:sz w:val="24"/>
          <w:szCs w:val="24"/>
        </w:rPr>
      </w:pPr>
    </w:p>
    <w:p w:rsidR="00DC6DC6" w:rsidRDefault="00DC6DC6" w:rsidP="008322FE">
      <w:pPr>
        <w:jc w:val="both"/>
        <w:rPr>
          <w:rFonts w:ascii="Times New Roman" w:hAnsi="Times New Roman" w:cs="Times New Roman"/>
          <w:sz w:val="24"/>
          <w:szCs w:val="24"/>
        </w:rPr>
      </w:pPr>
    </w:p>
    <w:p w:rsidR="00DC6DC6" w:rsidRPr="00071713" w:rsidRDefault="00DC6DC6" w:rsidP="00071713">
      <w:pPr>
        <w:pStyle w:val="NoSpacing"/>
        <w:numPr>
          <w:ilvl w:val="0"/>
          <w:numId w:val="40"/>
        </w:numPr>
        <w:ind w:left="709"/>
        <w:jc w:val="both"/>
        <w:rPr>
          <w:rFonts w:ascii="Times New Roman" w:hAnsi="Times New Roman" w:cs="Times New Roman"/>
          <w:b/>
          <w:bCs/>
          <w:color w:val="1F497D"/>
          <w:sz w:val="24"/>
          <w:szCs w:val="24"/>
          <w:u w:val="single"/>
        </w:rPr>
      </w:pPr>
      <w:r w:rsidRPr="00071713">
        <w:rPr>
          <w:rFonts w:ascii="Times New Roman" w:hAnsi="Times New Roman" w:cs="Times New Roman"/>
          <w:b/>
          <w:bCs/>
          <w:color w:val="1F497D"/>
          <w:sz w:val="24"/>
          <w:szCs w:val="24"/>
          <w:u w:val="single"/>
        </w:rPr>
        <w:t>Ordonnance relative à la prorogation des délais échus pendant la période d’urgence sanitaire et à l’adaptation des procédures pendant cette même période</w:t>
      </w:r>
    </w:p>
    <w:p w:rsidR="00DC6DC6" w:rsidRPr="00922CF5" w:rsidRDefault="00DC6DC6" w:rsidP="00071713">
      <w:pPr>
        <w:pStyle w:val="NoSpacing"/>
        <w:numPr>
          <w:ilvl w:val="0"/>
          <w:numId w:val="40"/>
        </w:numPr>
        <w:jc w:val="both"/>
        <w:rPr>
          <w:rFonts w:ascii="Times New Roman" w:hAnsi="Times New Roman" w:cs="Times New Roman"/>
          <w:b/>
          <w:bCs/>
          <w:color w:val="1F497D"/>
          <w:sz w:val="24"/>
          <w:szCs w:val="24"/>
          <w:u w:val="single"/>
        </w:rPr>
      </w:pPr>
    </w:p>
    <w:p w:rsidR="00DC6DC6" w:rsidRPr="00071713" w:rsidRDefault="00DC6DC6" w:rsidP="00071713">
      <w:pPr>
        <w:pStyle w:val="NoSpacing"/>
        <w:jc w:val="both"/>
        <w:rPr>
          <w:rFonts w:ascii="Times New Roman" w:hAnsi="Times New Roman" w:cs="Times New Roman"/>
          <w:sz w:val="24"/>
          <w:szCs w:val="24"/>
          <w:lang w:eastAsia="fr-FR"/>
        </w:rPr>
      </w:pPr>
      <w:r w:rsidRPr="00071713">
        <w:rPr>
          <w:rFonts w:ascii="Times New Roman" w:hAnsi="Times New Roman" w:cs="Times New Roman"/>
          <w:sz w:val="24"/>
          <w:szCs w:val="24"/>
          <w:lang w:eastAsia="fr-FR"/>
        </w:rPr>
        <w:t xml:space="preserve">L’ordonnance comporte des mesures suspendant les </w:t>
      </w:r>
      <w:r w:rsidRPr="00071713">
        <w:rPr>
          <w:rFonts w:ascii="Times New Roman" w:hAnsi="Times New Roman" w:cs="Times New Roman"/>
          <w:b/>
          <w:bCs/>
          <w:sz w:val="24"/>
          <w:szCs w:val="24"/>
          <w:lang w:eastAsia="fr-FR"/>
        </w:rPr>
        <w:t xml:space="preserve">délais applicables aux demandes présentées aux autorités administratives. </w:t>
      </w:r>
      <w:r w:rsidRPr="00071713">
        <w:rPr>
          <w:rFonts w:ascii="Times New Roman" w:hAnsi="Times New Roman" w:cs="Times New Roman"/>
          <w:sz w:val="24"/>
          <w:szCs w:val="24"/>
          <w:lang w:eastAsia="fr-FR"/>
        </w:rPr>
        <w:t xml:space="preserve">Sont </w:t>
      </w:r>
      <w:r w:rsidRPr="00071713">
        <w:rPr>
          <w:rFonts w:ascii="Times New Roman" w:hAnsi="Times New Roman" w:cs="Times New Roman"/>
          <w:color w:val="000000"/>
          <w:sz w:val="24"/>
          <w:szCs w:val="24"/>
          <w:lang w:eastAsia="fr-FR"/>
        </w:rPr>
        <w:t>concernées</w:t>
      </w:r>
      <w:r w:rsidRPr="00071713">
        <w:rPr>
          <w:rFonts w:ascii="Times New Roman" w:hAnsi="Times New Roman" w:cs="Times New Roman"/>
          <w:b/>
          <w:bCs/>
          <w:color w:val="000000"/>
          <w:sz w:val="24"/>
          <w:szCs w:val="24"/>
          <w:lang w:eastAsia="fr-FR"/>
        </w:rPr>
        <w:t xml:space="preserve"> </w:t>
      </w:r>
      <w:r w:rsidRPr="00071713">
        <w:rPr>
          <w:rFonts w:ascii="Times New Roman" w:hAnsi="Times New Roman" w:cs="Times New Roman"/>
          <w:sz w:val="24"/>
          <w:szCs w:val="24"/>
          <w:lang w:eastAsia="fr-FR"/>
        </w:rPr>
        <w:t xml:space="preserve">les demandes donnant lieu à une décision d’une autorité administrative, et notamment des décisions implicites d’acceptation ou de rejet ainsi que les délais fixés pour les acteurs pris dans le cadre de la procédure d’instruction de ces demandes. </w:t>
      </w:r>
    </w:p>
    <w:p w:rsidR="00DC6DC6" w:rsidRPr="00071713" w:rsidRDefault="00DC6DC6" w:rsidP="00071713">
      <w:pPr>
        <w:pStyle w:val="NoSpacing"/>
        <w:jc w:val="both"/>
        <w:rPr>
          <w:rFonts w:ascii="Times New Roman" w:hAnsi="Times New Roman" w:cs="Times New Roman"/>
          <w:sz w:val="24"/>
          <w:szCs w:val="24"/>
        </w:rPr>
      </w:pPr>
    </w:p>
    <w:p w:rsidR="00DC6DC6" w:rsidRPr="00071713" w:rsidRDefault="00DC6DC6" w:rsidP="00071713">
      <w:pPr>
        <w:pStyle w:val="NoSpacing"/>
        <w:jc w:val="both"/>
        <w:rPr>
          <w:rFonts w:ascii="Times New Roman" w:hAnsi="Times New Roman" w:cs="Times New Roman"/>
          <w:sz w:val="24"/>
          <w:szCs w:val="24"/>
        </w:rPr>
      </w:pPr>
      <w:r w:rsidRPr="00071713">
        <w:rPr>
          <w:rFonts w:ascii="Times New Roman" w:hAnsi="Times New Roman" w:cs="Times New Roman"/>
          <w:sz w:val="24"/>
          <w:szCs w:val="24"/>
          <w:lang w:eastAsia="fr-FR"/>
        </w:rPr>
        <w:t xml:space="preserve">A titre d’illustration, les demandes formulées </w:t>
      </w:r>
      <w:r w:rsidRPr="00071713">
        <w:rPr>
          <w:rFonts w:ascii="Times New Roman" w:hAnsi="Times New Roman" w:cs="Times New Roman"/>
          <w:b/>
          <w:bCs/>
          <w:sz w:val="24"/>
          <w:szCs w:val="24"/>
          <w:lang w:eastAsia="fr-FR"/>
        </w:rPr>
        <w:t xml:space="preserve">en matière de droit des sols </w:t>
      </w:r>
      <w:r w:rsidRPr="00071713">
        <w:rPr>
          <w:rFonts w:ascii="Times New Roman" w:hAnsi="Times New Roman" w:cs="Times New Roman"/>
          <w:sz w:val="24"/>
          <w:szCs w:val="24"/>
          <w:lang w:eastAsia="fr-FR"/>
        </w:rPr>
        <w:t>(déclaration de travaux, permis de construire, permis d’aménager, etc…)</w:t>
      </w:r>
      <w:r w:rsidRPr="00071713">
        <w:rPr>
          <w:rFonts w:ascii="Times New Roman" w:hAnsi="Times New Roman" w:cs="Times New Roman"/>
          <w:color w:val="1F497D"/>
          <w:sz w:val="24"/>
          <w:szCs w:val="24"/>
          <w:lang w:eastAsia="fr-FR"/>
        </w:rPr>
        <w:t xml:space="preserve"> </w:t>
      </w:r>
      <w:r w:rsidRPr="00071713">
        <w:rPr>
          <w:rFonts w:ascii="Times New Roman" w:hAnsi="Times New Roman" w:cs="Times New Roman"/>
          <w:sz w:val="24"/>
          <w:szCs w:val="24"/>
          <w:lang w:eastAsia="fr-FR"/>
        </w:rPr>
        <w:t>sont visées, ainsi que les</w:t>
      </w:r>
      <w:r w:rsidRPr="00071713">
        <w:rPr>
          <w:rFonts w:ascii="Times New Roman" w:hAnsi="Times New Roman" w:cs="Times New Roman"/>
          <w:b/>
          <w:bCs/>
          <w:sz w:val="24"/>
          <w:szCs w:val="24"/>
        </w:rPr>
        <w:t xml:space="preserve"> délais applicables aux déclarations présentées aux autorités administratives</w:t>
      </w:r>
      <w:r w:rsidRPr="00071713">
        <w:rPr>
          <w:rFonts w:ascii="Times New Roman" w:hAnsi="Times New Roman" w:cs="Times New Roman"/>
          <w:color w:val="1F497D"/>
          <w:sz w:val="24"/>
          <w:szCs w:val="24"/>
        </w:rPr>
        <w:t>,</w:t>
      </w:r>
      <w:r w:rsidRPr="00071713">
        <w:rPr>
          <w:rFonts w:ascii="Times New Roman" w:hAnsi="Times New Roman" w:cs="Times New Roman"/>
          <w:sz w:val="24"/>
          <w:szCs w:val="24"/>
        </w:rPr>
        <w:t xml:space="preserve"> par exemple</w:t>
      </w:r>
      <w:r w:rsidRPr="00071713">
        <w:rPr>
          <w:rFonts w:ascii="Times New Roman" w:hAnsi="Times New Roman" w:cs="Times New Roman"/>
          <w:color w:val="1F497D"/>
          <w:sz w:val="24"/>
          <w:szCs w:val="24"/>
        </w:rPr>
        <w:t xml:space="preserve"> </w:t>
      </w:r>
      <w:r w:rsidRPr="00071713">
        <w:rPr>
          <w:rFonts w:ascii="Times New Roman" w:hAnsi="Times New Roman" w:cs="Times New Roman"/>
          <w:sz w:val="24"/>
          <w:szCs w:val="24"/>
        </w:rPr>
        <w:t>une déclaration d’intention d’aliéner (DIA).</w:t>
      </w:r>
    </w:p>
    <w:p w:rsidR="00DC6DC6" w:rsidRPr="00071713" w:rsidRDefault="00DC6DC6" w:rsidP="00071713">
      <w:pPr>
        <w:pStyle w:val="NoSpacing"/>
        <w:jc w:val="both"/>
        <w:rPr>
          <w:rFonts w:ascii="Times New Roman" w:hAnsi="Times New Roman" w:cs="Times New Roman"/>
          <w:sz w:val="24"/>
          <w:szCs w:val="24"/>
        </w:rPr>
      </w:pPr>
    </w:p>
    <w:p w:rsidR="00DC6DC6" w:rsidRPr="00071713" w:rsidRDefault="00DC6DC6" w:rsidP="00071713">
      <w:pPr>
        <w:pStyle w:val="NoSpacing"/>
        <w:jc w:val="both"/>
        <w:rPr>
          <w:rFonts w:ascii="Times New Roman" w:hAnsi="Times New Roman" w:cs="Times New Roman"/>
          <w:sz w:val="24"/>
          <w:szCs w:val="24"/>
          <w:lang w:eastAsia="fr-FR"/>
        </w:rPr>
      </w:pPr>
      <w:r w:rsidRPr="00071713">
        <w:rPr>
          <w:rFonts w:ascii="Times New Roman" w:hAnsi="Times New Roman" w:cs="Times New Roman"/>
          <w:sz w:val="24"/>
          <w:szCs w:val="24"/>
          <w:lang w:eastAsia="fr-FR"/>
        </w:rPr>
        <w:t>Il en est de même pour les</w:t>
      </w:r>
      <w:r w:rsidRPr="00071713">
        <w:rPr>
          <w:rFonts w:ascii="Times New Roman" w:hAnsi="Times New Roman" w:cs="Times New Roman"/>
          <w:b/>
          <w:bCs/>
          <w:sz w:val="24"/>
          <w:szCs w:val="24"/>
          <w:lang w:eastAsia="fr-FR"/>
        </w:rPr>
        <w:t xml:space="preserve"> délais de consultation du public ou de toute instance ou autorité</w:t>
      </w:r>
      <w:r w:rsidRPr="00071713">
        <w:rPr>
          <w:rFonts w:ascii="Times New Roman" w:hAnsi="Times New Roman" w:cs="Times New Roman"/>
          <w:sz w:val="24"/>
          <w:szCs w:val="24"/>
          <w:lang w:eastAsia="fr-FR"/>
        </w:rPr>
        <w:t>, préalables à la prise d’une décision par une autorité administrative. Par exemple, ces dispositions permettront de suspendre des consultations ou des enquêtes publiques en cours, ou de permettre la consultation d’instances qui n’auront pu se réunir.</w:t>
      </w:r>
    </w:p>
    <w:p w:rsidR="00DC6DC6" w:rsidRPr="00071713" w:rsidRDefault="00DC6DC6" w:rsidP="00071713">
      <w:pPr>
        <w:pStyle w:val="NoSpacing"/>
        <w:jc w:val="both"/>
        <w:rPr>
          <w:rFonts w:ascii="Times New Roman" w:hAnsi="Times New Roman" w:cs="Times New Roman"/>
          <w:sz w:val="24"/>
          <w:szCs w:val="24"/>
        </w:rPr>
      </w:pPr>
    </w:p>
    <w:p w:rsidR="00DC6DC6" w:rsidRPr="00071713" w:rsidRDefault="00DC6DC6" w:rsidP="00071713">
      <w:pPr>
        <w:pStyle w:val="NoSpacing"/>
        <w:jc w:val="both"/>
        <w:rPr>
          <w:rFonts w:ascii="Times New Roman" w:hAnsi="Times New Roman" w:cs="Times New Roman"/>
          <w:sz w:val="24"/>
          <w:szCs w:val="24"/>
        </w:rPr>
      </w:pPr>
      <w:r w:rsidRPr="00071713">
        <w:rPr>
          <w:rFonts w:ascii="Times New Roman" w:hAnsi="Times New Roman" w:cs="Times New Roman"/>
          <w:sz w:val="24"/>
          <w:szCs w:val="24"/>
        </w:rPr>
        <w:t xml:space="preserve">Enfin, les </w:t>
      </w:r>
      <w:r w:rsidRPr="00071713">
        <w:rPr>
          <w:rFonts w:ascii="Times New Roman" w:hAnsi="Times New Roman" w:cs="Times New Roman"/>
          <w:b/>
          <w:bCs/>
          <w:sz w:val="24"/>
          <w:szCs w:val="24"/>
        </w:rPr>
        <w:t>autorisations, permis et agréments</w:t>
      </w:r>
      <w:r w:rsidRPr="00071713">
        <w:rPr>
          <w:rFonts w:ascii="Times New Roman" w:hAnsi="Times New Roman" w:cs="Times New Roman"/>
          <w:sz w:val="24"/>
          <w:szCs w:val="24"/>
        </w:rPr>
        <w:t xml:space="preserve"> délivrés par une autorité administrative seront par ailleurs prorogés. </w:t>
      </w:r>
    </w:p>
    <w:p w:rsidR="00DC6DC6" w:rsidRDefault="00DC6DC6" w:rsidP="00414ED7">
      <w:pPr>
        <w:rPr>
          <w:rFonts w:ascii="Times New Roman" w:hAnsi="Times New Roman" w:cs="Times New Roman"/>
          <w:sz w:val="24"/>
          <w:szCs w:val="24"/>
        </w:rPr>
      </w:pPr>
    </w:p>
    <w:p w:rsidR="00DC6DC6" w:rsidRDefault="00DC6DC6" w:rsidP="00414ED7">
      <w:pPr>
        <w:jc w:val="center"/>
        <w:rPr>
          <w:rFonts w:ascii="Times New Roman" w:hAnsi="Times New Roman" w:cs="Times New Roman"/>
          <w:sz w:val="24"/>
          <w:szCs w:val="24"/>
        </w:rPr>
      </w:pPr>
      <w:r w:rsidRPr="008322FE">
        <w:rPr>
          <w:rFonts w:ascii="Times New Roman" w:hAnsi="Times New Roman" w:cs="Times New Roman"/>
          <w:sz w:val="24"/>
          <w:szCs w:val="24"/>
        </w:rPr>
        <w:t>***</w:t>
      </w:r>
    </w:p>
    <w:p w:rsidR="00DC6DC6" w:rsidRPr="00071713" w:rsidRDefault="00DC6DC6">
      <w:pPr>
        <w:rPr>
          <w:rFonts w:ascii="Times New Roman" w:hAnsi="Times New Roman" w:cs="Times New Roman"/>
          <w:sz w:val="24"/>
          <w:szCs w:val="24"/>
        </w:rPr>
      </w:pPr>
    </w:p>
    <w:p w:rsidR="00DC6DC6" w:rsidRPr="008322FE" w:rsidRDefault="00DC6DC6" w:rsidP="008322FE">
      <w:pPr>
        <w:jc w:val="both"/>
        <w:rPr>
          <w:rFonts w:ascii="Times New Roman" w:hAnsi="Times New Roman" w:cs="Times New Roman"/>
          <w:sz w:val="24"/>
          <w:szCs w:val="24"/>
        </w:rPr>
      </w:pPr>
      <w:r>
        <w:rPr>
          <w:rFonts w:ascii="Times New Roman" w:hAnsi="Times New Roman" w:cs="Times New Roman"/>
          <w:sz w:val="24"/>
          <w:szCs w:val="24"/>
        </w:rPr>
        <w:t>A</w:t>
      </w:r>
      <w:r w:rsidRPr="008322FE">
        <w:rPr>
          <w:rFonts w:ascii="Times New Roman" w:hAnsi="Times New Roman" w:cs="Times New Roman"/>
          <w:sz w:val="24"/>
          <w:szCs w:val="24"/>
        </w:rPr>
        <w:t xml:space="preserve"> noter que l’ensemble de ces dispositions permettront aux collectivités de </w:t>
      </w:r>
      <w:r w:rsidRPr="008322FE">
        <w:rPr>
          <w:rFonts w:ascii="Times New Roman" w:hAnsi="Times New Roman" w:cs="Times New Roman"/>
          <w:b/>
          <w:bCs/>
          <w:sz w:val="24"/>
          <w:szCs w:val="24"/>
        </w:rPr>
        <w:t>continuer à apporter leur soutien au secteur associatif</w:t>
      </w:r>
      <w:r w:rsidRPr="008322FE">
        <w:rPr>
          <w:rFonts w:ascii="Times New Roman" w:hAnsi="Times New Roman" w:cs="Times New Roman"/>
          <w:sz w:val="24"/>
          <w:szCs w:val="24"/>
        </w:rPr>
        <w:t xml:space="preserve"> dont le rôle est important en cette période de crise sanitaire. Les souplesses budgétaires prévues par la loi, et enrichies par l’ordonnance, permettront d’apporter des financements.</w:t>
      </w:r>
    </w:p>
    <w:p w:rsidR="00DC6DC6" w:rsidRPr="008322FE" w:rsidRDefault="00DC6DC6" w:rsidP="008322FE">
      <w:pPr>
        <w:pStyle w:val="NoSpacing"/>
        <w:jc w:val="both"/>
        <w:rPr>
          <w:rFonts w:ascii="Times New Roman" w:hAnsi="Times New Roman" w:cs="Times New Roman"/>
          <w:sz w:val="24"/>
          <w:szCs w:val="24"/>
          <w:lang w:eastAsia="fr-FR"/>
        </w:rPr>
      </w:pPr>
    </w:p>
    <w:p w:rsidR="00DC6DC6" w:rsidRPr="008322FE" w:rsidRDefault="00DC6DC6" w:rsidP="008322FE">
      <w:pPr>
        <w:jc w:val="both"/>
        <w:rPr>
          <w:rFonts w:ascii="Times New Roman" w:hAnsi="Times New Roman" w:cs="Times New Roman"/>
          <w:sz w:val="24"/>
          <w:szCs w:val="24"/>
        </w:rPr>
      </w:pPr>
      <w:r w:rsidRPr="008322FE">
        <w:rPr>
          <w:rFonts w:ascii="Times New Roman" w:hAnsi="Times New Roman" w:cs="Times New Roman"/>
          <w:sz w:val="24"/>
          <w:szCs w:val="24"/>
        </w:rPr>
        <w:t xml:space="preserve">Conformément à la loi d’urgence du 23 mars 2020, une </w:t>
      </w:r>
      <w:r w:rsidRPr="008322FE">
        <w:rPr>
          <w:rFonts w:ascii="Times New Roman" w:hAnsi="Times New Roman" w:cs="Times New Roman"/>
          <w:b/>
          <w:bCs/>
          <w:sz w:val="24"/>
          <w:szCs w:val="24"/>
        </w:rPr>
        <w:t>ordonnance relative au fonctionnement et à la gouvernance des collectivités territoriales et de leurs groupements</w:t>
      </w:r>
      <w:r w:rsidRPr="008322FE">
        <w:rPr>
          <w:rFonts w:ascii="Times New Roman" w:hAnsi="Times New Roman" w:cs="Times New Roman"/>
          <w:sz w:val="24"/>
          <w:szCs w:val="24"/>
        </w:rPr>
        <w:t xml:space="preserve"> doit être prise très  prochainement. Elle est actuellement en cours de préparation et des informations seront communiquées rapidement aux élus locaux sur les mesures de souplesse qui seront prises.</w:t>
      </w:r>
    </w:p>
    <w:p w:rsidR="00DC6DC6" w:rsidRPr="008322FE" w:rsidRDefault="00DC6DC6" w:rsidP="008322FE">
      <w:pPr>
        <w:jc w:val="both"/>
        <w:rPr>
          <w:rFonts w:ascii="Times New Roman" w:hAnsi="Times New Roman" w:cs="Times New Roman"/>
          <w:sz w:val="24"/>
          <w:szCs w:val="24"/>
        </w:rPr>
      </w:pPr>
    </w:p>
    <w:p w:rsidR="00DC6DC6" w:rsidRPr="008322FE" w:rsidRDefault="00DC6DC6" w:rsidP="008322FE">
      <w:pPr>
        <w:rPr>
          <w:rFonts w:ascii="Times New Roman" w:hAnsi="Times New Roman" w:cs="Times New Roman"/>
          <w:sz w:val="24"/>
          <w:szCs w:val="24"/>
        </w:rPr>
      </w:pPr>
    </w:p>
    <w:p w:rsidR="00DC6DC6" w:rsidRPr="008322FE" w:rsidRDefault="00DC6DC6" w:rsidP="008322FE">
      <w:pPr>
        <w:pStyle w:val="NoSpacing"/>
        <w:jc w:val="both"/>
        <w:rPr>
          <w:rFonts w:ascii="Times New Roman" w:hAnsi="Times New Roman" w:cs="Times New Roman"/>
          <w:sz w:val="24"/>
          <w:szCs w:val="24"/>
        </w:rPr>
      </w:pPr>
    </w:p>
    <w:sectPr w:rsidR="00DC6DC6" w:rsidRPr="008322FE" w:rsidSect="001F3050">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DC6" w:rsidRDefault="00DC6DC6" w:rsidP="009716DE">
      <w:pPr>
        <w:spacing w:after="0" w:line="240" w:lineRule="auto"/>
      </w:pPr>
      <w:r>
        <w:separator/>
      </w:r>
    </w:p>
  </w:endnote>
  <w:endnote w:type="continuationSeparator" w:id="0">
    <w:p w:rsidR="00DC6DC6" w:rsidRDefault="00DC6DC6" w:rsidP="009716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DC6" w:rsidRDefault="00DC6DC6">
    <w:pPr>
      <w:pStyle w:val="Footer"/>
      <w:jc w:val="right"/>
    </w:pPr>
    <w:r w:rsidRPr="009716DE">
      <w:rPr>
        <w:rFonts w:ascii="Times New Roman" w:hAnsi="Times New Roman" w:cs="Times New Roman"/>
      </w:rPr>
      <w:t xml:space="preserve">Page </w:t>
    </w:r>
    <w:r w:rsidRPr="009716DE">
      <w:rPr>
        <w:rFonts w:ascii="Times New Roman" w:hAnsi="Times New Roman" w:cs="Times New Roman"/>
        <w:b/>
        <w:bCs/>
      </w:rPr>
      <w:fldChar w:fldCharType="begin"/>
    </w:r>
    <w:r w:rsidRPr="009716DE">
      <w:rPr>
        <w:rFonts w:ascii="Times New Roman" w:hAnsi="Times New Roman" w:cs="Times New Roman"/>
        <w:b/>
        <w:bCs/>
      </w:rPr>
      <w:instrText>PAGE</w:instrText>
    </w:r>
    <w:r w:rsidRPr="009716DE">
      <w:rPr>
        <w:rFonts w:ascii="Times New Roman" w:hAnsi="Times New Roman" w:cs="Times New Roman"/>
        <w:b/>
        <w:bCs/>
      </w:rPr>
      <w:fldChar w:fldCharType="separate"/>
    </w:r>
    <w:r>
      <w:rPr>
        <w:rFonts w:ascii="Times New Roman" w:hAnsi="Times New Roman" w:cs="Times New Roman"/>
        <w:b/>
        <w:bCs/>
        <w:noProof/>
      </w:rPr>
      <w:t>5</w:t>
    </w:r>
    <w:r w:rsidRPr="009716DE">
      <w:rPr>
        <w:rFonts w:ascii="Times New Roman" w:hAnsi="Times New Roman" w:cs="Times New Roman"/>
        <w:b/>
        <w:bCs/>
      </w:rPr>
      <w:fldChar w:fldCharType="end"/>
    </w:r>
    <w:r w:rsidRPr="009716DE">
      <w:rPr>
        <w:rFonts w:ascii="Times New Roman" w:hAnsi="Times New Roman" w:cs="Times New Roman"/>
      </w:rPr>
      <w:t xml:space="preserve"> sur </w:t>
    </w:r>
    <w:r w:rsidRPr="009716DE">
      <w:rPr>
        <w:rFonts w:ascii="Times New Roman" w:hAnsi="Times New Roman" w:cs="Times New Roman"/>
        <w:b/>
        <w:bCs/>
      </w:rPr>
      <w:fldChar w:fldCharType="begin"/>
    </w:r>
    <w:r w:rsidRPr="009716DE">
      <w:rPr>
        <w:rFonts w:ascii="Times New Roman" w:hAnsi="Times New Roman" w:cs="Times New Roman"/>
        <w:b/>
        <w:bCs/>
      </w:rPr>
      <w:instrText>NUMPAGES</w:instrText>
    </w:r>
    <w:r w:rsidRPr="009716DE">
      <w:rPr>
        <w:rFonts w:ascii="Times New Roman" w:hAnsi="Times New Roman" w:cs="Times New Roman"/>
        <w:b/>
        <w:bCs/>
      </w:rPr>
      <w:fldChar w:fldCharType="separate"/>
    </w:r>
    <w:r>
      <w:rPr>
        <w:rFonts w:ascii="Times New Roman" w:hAnsi="Times New Roman" w:cs="Times New Roman"/>
        <w:b/>
        <w:bCs/>
        <w:noProof/>
      </w:rPr>
      <w:t>5</w:t>
    </w:r>
    <w:r w:rsidRPr="009716DE">
      <w:rPr>
        <w:rFonts w:ascii="Times New Roman" w:hAnsi="Times New Roman" w:cs="Times New Roman"/>
        <w:b/>
        <w:bCs/>
      </w:rPr>
      <w:fldChar w:fldCharType="end"/>
    </w:r>
  </w:p>
  <w:p w:rsidR="00DC6DC6" w:rsidRDefault="00DC6D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DC6" w:rsidRDefault="00DC6DC6" w:rsidP="009716DE">
      <w:pPr>
        <w:spacing w:after="0" w:line="240" w:lineRule="auto"/>
      </w:pPr>
      <w:r>
        <w:separator/>
      </w:r>
    </w:p>
  </w:footnote>
  <w:footnote w:type="continuationSeparator" w:id="0">
    <w:p w:rsidR="00DC6DC6" w:rsidRDefault="00DC6DC6" w:rsidP="009716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7108"/>
    <w:multiLevelType w:val="multilevel"/>
    <w:tmpl w:val="D9EA8CF6"/>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141154"/>
    <w:multiLevelType w:val="multilevel"/>
    <w:tmpl w:val="02909C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59C732F"/>
    <w:multiLevelType w:val="multilevel"/>
    <w:tmpl w:val="9BA0F058"/>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C3E55C4"/>
    <w:multiLevelType w:val="multilevel"/>
    <w:tmpl w:val="2D56870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0C913B30"/>
    <w:multiLevelType w:val="hybridMultilevel"/>
    <w:tmpl w:val="B6B00DC4"/>
    <w:lvl w:ilvl="0" w:tplc="A9CA32FE">
      <w:start w:val="1"/>
      <w:numFmt w:val="upperRoman"/>
      <w:lvlText w:val="%1-"/>
      <w:lvlJc w:val="left"/>
      <w:pPr>
        <w:ind w:left="-1080" w:hanging="720"/>
      </w:pPr>
      <w:rPr>
        <w:rFonts w:hint="default"/>
      </w:rPr>
    </w:lvl>
    <w:lvl w:ilvl="1" w:tplc="040C0019">
      <w:start w:val="1"/>
      <w:numFmt w:val="lowerLetter"/>
      <w:lvlText w:val="%2."/>
      <w:lvlJc w:val="left"/>
      <w:pPr>
        <w:ind w:left="-720" w:hanging="360"/>
      </w:pPr>
    </w:lvl>
    <w:lvl w:ilvl="2" w:tplc="040C001B">
      <w:start w:val="1"/>
      <w:numFmt w:val="lowerRoman"/>
      <w:lvlText w:val="%3."/>
      <w:lvlJc w:val="right"/>
      <w:pPr>
        <w:ind w:hanging="180"/>
      </w:pPr>
    </w:lvl>
    <w:lvl w:ilvl="3" w:tplc="040C000F">
      <w:start w:val="1"/>
      <w:numFmt w:val="decimal"/>
      <w:lvlText w:val="%4."/>
      <w:lvlJc w:val="left"/>
      <w:pPr>
        <w:ind w:left="720" w:hanging="360"/>
      </w:pPr>
    </w:lvl>
    <w:lvl w:ilvl="4" w:tplc="040C0019">
      <w:start w:val="1"/>
      <w:numFmt w:val="lowerLetter"/>
      <w:lvlText w:val="%5."/>
      <w:lvlJc w:val="left"/>
      <w:pPr>
        <w:ind w:left="1440" w:hanging="360"/>
      </w:pPr>
    </w:lvl>
    <w:lvl w:ilvl="5" w:tplc="040C001B">
      <w:start w:val="1"/>
      <w:numFmt w:val="lowerRoman"/>
      <w:lvlText w:val="%6."/>
      <w:lvlJc w:val="right"/>
      <w:pPr>
        <w:ind w:left="2160" w:hanging="180"/>
      </w:pPr>
    </w:lvl>
    <w:lvl w:ilvl="6" w:tplc="040C000F">
      <w:start w:val="1"/>
      <w:numFmt w:val="decimal"/>
      <w:lvlText w:val="%7."/>
      <w:lvlJc w:val="left"/>
      <w:pPr>
        <w:ind w:left="2880" w:hanging="360"/>
      </w:pPr>
    </w:lvl>
    <w:lvl w:ilvl="7" w:tplc="040C0019">
      <w:start w:val="1"/>
      <w:numFmt w:val="lowerLetter"/>
      <w:lvlText w:val="%8."/>
      <w:lvlJc w:val="left"/>
      <w:pPr>
        <w:ind w:left="3600" w:hanging="360"/>
      </w:pPr>
    </w:lvl>
    <w:lvl w:ilvl="8" w:tplc="040C001B">
      <w:start w:val="1"/>
      <w:numFmt w:val="lowerRoman"/>
      <w:lvlText w:val="%9."/>
      <w:lvlJc w:val="right"/>
      <w:pPr>
        <w:ind w:left="4320" w:hanging="180"/>
      </w:pPr>
    </w:lvl>
  </w:abstractNum>
  <w:abstractNum w:abstractNumId="5">
    <w:nsid w:val="0D703C40"/>
    <w:multiLevelType w:val="hybridMultilevel"/>
    <w:tmpl w:val="E230C6E0"/>
    <w:lvl w:ilvl="0" w:tplc="195AF0A8">
      <w:start w:val="1"/>
      <w:numFmt w:val="lowerLetter"/>
      <w:lvlText w:val="%1."/>
      <w:lvlJc w:val="left"/>
      <w:pPr>
        <w:ind w:left="1776" w:hanging="360"/>
      </w:pPr>
      <w:rPr>
        <w:rFonts w:hint="default"/>
        <w:b/>
        <w:bCs/>
      </w:rPr>
    </w:lvl>
    <w:lvl w:ilvl="1" w:tplc="040C0019">
      <w:start w:val="1"/>
      <w:numFmt w:val="lowerLetter"/>
      <w:lvlText w:val="%2."/>
      <w:lvlJc w:val="left"/>
      <w:pPr>
        <w:ind w:left="2496" w:hanging="360"/>
      </w:pPr>
    </w:lvl>
    <w:lvl w:ilvl="2" w:tplc="040C001B">
      <w:start w:val="1"/>
      <w:numFmt w:val="lowerRoman"/>
      <w:lvlText w:val="%3."/>
      <w:lvlJc w:val="right"/>
      <w:pPr>
        <w:ind w:left="3216" w:hanging="180"/>
      </w:pPr>
    </w:lvl>
    <w:lvl w:ilvl="3" w:tplc="040C000F">
      <w:start w:val="1"/>
      <w:numFmt w:val="decimal"/>
      <w:lvlText w:val="%4."/>
      <w:lvlJc w:val="left"/>
      <w:pPr>
        <w:ind w:left="3936" w:hanging="360"/>
      </w:pPr>
    </w:lvl>
    <w:lvl w:ilvl="4" w:tplc="040C0019">
      <w:start w:val="1"/>
      <w:numFmt w:val="lowerLetter"/>
      <w:lvlText w:val="%5."/>
      <w:lvlJc w:val="left"/>
      <w:pPr>
        <w:ind w:left="4656" w:hanging="360"/>
      </w:pPr>
    </w:lvl>
    <w:lvl w:ilvl="5" w:tplc="040C001B">
      <w:start w:val="1"/>
      <w:numFmt w:val="lowerRoman"/>
      <w:lvlText w:val="%6."/>
      <w:lvlJc w:val="right"/>
      <w:pPr>
        <w:ind w:left="5376" w:hanging="180"/>
      </w:pPr>
    </w:lvl>
    <w:lvl w:ilvl="6" w:tplc="040C000F">
      <w:start w:val="1"/>
      <w:numFmt w:val="decimal"/>
      <w:lvlText w:val="%7."/>
      <w:lvlJc w:val="left"/>
      <w:pPr>
        <w:ind w:left="6096" w:hanging="360"/>
      </w:pPr>
    </w:lvl>
    <w:lvl w:ilvl="7" w:tplc="040C0019">
      <w:start w:val="1"/>
      <w:numFmt w:val="lowerLetter"/>
      <w:lvlText w:val="%8."/>
      <w:lvlJc w:val="left"/>
      <w:pPr>
        <w:ind w:left="6816" w:hanging="360"/>
      </w:pPr>
    </w:lvl>
    <w:lvl w:ilvl="8" w:tplc="040C001B">
      <w:start w:val="1"/>
      <w:numFmt w:val="lowerRoman"/>
      <w:lvlText w:val="%9."/>
      <w:lvlJc w:val="right"/>
      <w:pPr>
        <w:ind w:left="7536" w:hanging="180"/>
      </w:pPr>
    </w:lvl>
  </w:abstractNum>
  <w:abstractNum w:abstractNumId="6">
    <w:nsid w:val="0E9B0E42"/>
    <w:multiLevelType w:val="multilevel"/>
    <w:tmpl w:val="6450CAA4"/>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0F1671D1"/>
    <w:multiLevelType w:val="multilevel"/>
    <w:tmpl w:val="817E300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12D2B06"/>
    <w:multiLevelType w:val="multilevel"/>
    <w:tmpl w:val="405EEA32"/>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1405478D"/>
    <w:multiLevelType w:val="multilevel"/>
    <w:tmpl w:val="BC827114"/>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16086141"/>
    <w:multiLevelType w:val="multilevel"/>
    <w:tmpl w:val="A4D89B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7874A8D"/>
    <w:multiLevelType w:val="multilevel"/>
    <w:tmpl w:val="5948AB0A"/>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1C3E34E7"/>
    <w:multiLevelType w:val="hybridMultilevel"/>
    <w:tmpl w:val="DB7A5726"/>
    <w:lvl w:ilvl="0" w:tplc="C360BA18">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3">
    <w:nsid w:val="1F2F13D5"/>
    <w:multiLevelType w:val="multilevel"/>
    <w:tmpl w:val="14D8E24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26C47400"/>
    <w:multiLevelType w:val="multilevel"/>
    <w:tmpl w:val="F702A5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B1B6689"/>
    <w:multiLevelType w:val="multilevel"/>
    <w:tmpl w:val="ADCC19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6F72B4"/>
    <w:multiLevelType w:val="hybridMultilevel"/>
    <w:tmpl w:val="B6B00DC4"/>
    <w:lvl w:ilvl="0" w:tplc="A9CA32FE">
      <w:start w:val="1"/>
      <w:numFmt w:val="upperRoman"/>
      <w:lvlText w:val="%1-"/>
      <w:lvlJc w:val="left"/>
      <w:pPr>
        <w:ind w:left="-1080" w:hanging="720"/>
      </w:pPr>
      <w:rPr>
        <w:rFonts w:hint="default"/>
      </w:rPr>
    </w:lvl>
    <w:lvl w:ilvl="1" w:tplc="040C0019">
      <w:start w:val="1"/>
      <w:numFmt w:val="lowerLetter"/>
      <w:lvlText w:val="%2."/>
      <w:lvlJc w:val="left"/>
      <w:pPr>
        <w:ind w:left="-720" w:hanging="360"/>
      </w:pPr>
    </w:lvl>
    <w:lvl w:ilvl="2" w:tplc="040C001B">
      <w:start w:val="1"/>
      <w:numFmt w:val="lowerRoman"/>
      <w:lvlText w:val="%3."/>
      <w:lvlJc w:val="right"/>
      <w:pPr>
        <w:ind w:hanging="180"/>
      </w:pPr>
    </w:lvl>
    <w:lvl w:ilvl="3" w:tplc="040C000F">
      <w:start w:val="1"/>
      <w:numFmt w:val="decimal"/>
      <w:lvlText w:val="%4."/>
      <w:lvlJc w:val="left"/>
      <w:pPr>
        <w:ind w:left="720" w:hanging="360"/>
      </w:pPr>
    </w:lvl>
    <w:lvl w:ilvl="4" w:tplc="040C0019">
      <w:start w:val="1"/>
      <w:numFmt w:val="lowerLetter"/>
      <w:lvlText w:val="%5."/>
      <w:lvlJc w:val="left"/>
      <w:pPr>
        <w:ind w:left="1440" w:hanging="360"/>
      </w:pPr>
    </w:lvl>
    <w:lvl w:ilvl="5" w:tplc="040C001B">
      <w:start w:val="1"/>
      <w:numFmt w:val="lowerRoman"/>
      <w:lvlText w:val="%6."/>
      <w:lvlJc w:val="right"/>
      <w:pPr>
        <w:ind w:left="2160" w:hanging="180"/>
      </w:pPr>
    </w:lvl>
    <w:lvl w:ilvl="6" w:tplc="040C000F">
      <w:start w:val="1"/>
      <w:numFmt w:val="decimal"/>
      <w:lvlText w:val="%7."/>
      <w:lvlJc w:val="left"/>
      <w:pPr>
        <w:ind w:left="2880" w:hanging="360"/>
      </w:pPr>
    </w:lvl>
    <w:lvl w:ilvl="7" w:tplc="040C0019">
      <w:start w:val="1"/>
      <w:numFmt w:val="lowerLetter"/>
      <w:lvlText w:val="%8."/>
      <w:lvlJc w:val="left"/>
      <w:pPr>
        <w:ind w:left="3600" w:hanging="360"/>
      </w:pPr>
    </w:lvl>
    <w:lvl w:ilvl="8" w:tplc="040C001B">
      <w:start w:val="1"/>
      <w:numFmt w:val="lowerRoman"/>
      <w:lvlText w:val="%9."/>
      <w:lvlJc w:val="right"/>
      <w:pPr>
        <w:ind w:left="4320" w:hanging="180"/>
      </w:pPr>
    </w:lvl>
  </w:abstractNum>
  <w:abstractNum w:abstractNumId="17">
    <w:nsid w:val="33963A37"/>
    <w:multiLevelType w:val="multilevel"/>
    <w:tmpl w:val="302448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52763E0"/>
    <w:multiLevelType w:val="multilevel"/>
    <w:tmpl w:val="C4DCAF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7654A08"/>
    <w:multiLevelType w:val="multilevel"/>
    <w:tmpl w:val="8C783CEC"/>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3A0057CA"/>
    <w:multiLevelType w:val="multilevel"/>
    <w:tmpl w:val="4D0E99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3BCA792A"/>
    <w:multiLevelType w:val="multilevel"/>
    <w:tmpl w:val="4998CE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3F444E34"/>
    <w:multiLevelType w:val="multilevel"/>
    <w:tmpl w:val="C84CA6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3FDE60F5"/>
    <w:multiLevelType w:val="multilevel"/>
    <w:tmpl w:val="AA78348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431C537A"/>
    <w:multiLevelType w:val="multilevel"/>
    <w:tmpl w:val="5FA25B1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489B294F"/>
    <w:multiLevelType w:val="multilevel"/>
    <w:tmpl w:val="E9FE51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48E83368"/>
    <w:multiLevelType w:val="multilevel"/>
    <w:tmpl w:val="ABC0661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4FD85489"/>
    <w:multiLevelType w:val="multilevel"/>
    <w:tmpl w:val="B23C215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52A65F6D"/>
    <w:multiLevelType w:val="hybridMultilevel"/>
    <w:tmpl w:val="3DDA212E"/>
    <w:lvl w:ilvl="0" w:tplc="FBF6AA50">
      <w:numFmt w:val="bullet"/>
      <w:lvlText w:val="-"/>
      <w:lvlJc w:val="left"/>
      <w:pPr>
        <w:ind w:left="1065" w:hanging="705"/>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9">
    <w:nsid w:val="54AF0FBB"/>
    <w:multiLevelType w:val="multilevel"/>
    <w:tmpl w:val="28B2B71C"/>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561C276E"/>
    <w:multiLevelType w:val="multilevel"/>
    <w:tmpl w:val="DF0C4AB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59205D87"/>
    <w:multiLevelType w:val="multilevel"/>
    <w:tmpl w:val="B57E3EC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5E9716B6"/>
    <w:multiLevelType w:val="multilevel"/>
    <w:tmpl w:val="DC16C94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nsid w:val="62227564"/>
    <w:multiLevelType w:val="multilevel"/>
    <w:tmpl w:val="6BBEB38E"/>
    <w:lvl w:ilvl="0">
      <w:start w:val="1"/>
      <w:numFmt w:val="bullet"/>
      <w:lvlText w:val=""/>
      <w:lvlJc w:val="left"/>
      <w:pPr>
        <w:tabs>
          <w:tab w:val="num" w:pos="-402"/>
        </w:tabs>
        <w:ind w:left="-402" w:hanging="360"/>
      </w:pPr>
      <w:rPr>
        <w:rFonts w:ascii="Wingdings" w:hAnsi="Wingdings" w:cs="Wingdings" w:hint="default"/>
        <w:sz w:val="20"/>
        <w:szCs w:val="20"/>
      </w:rPr>
    </w:lvl>
    <w:lvl w:ilvl="1">
      <w:start w:val="1"/>
      <w:numFmt w:val="bullet"/>
      <w:lvlText w:val="o"/>
      <w:lvlJc w:val="left"/>
      <w:pPr>
        <w:tabs>
          <w:tab w:val="num" w:pos="318"/>
        </w:tabs>
        <w:ind w:left="318" w:hanging="360"/>
      </w:pPr>
      <w:rPr>
        <w:rFonts w:ascii="Courier New" w:hAnsi="Courier New" w:cs="Courier New" w:hint="default"/>
        <w:sz w:val="20"/>
        <w:szCs w:val="20"/>
      </w:rPr>
    </w:lvl>
    <w:lvl w:ilvl="2">
      <w:start w:val="1"/>
      <w:numFmt w:val="bullet"/>
      <w:lvlText w:val=""/>
      <w:lvlJc w:val="left"/>
      <w:pPr>
        <w:tabs>
          <w:tab w:val="num" w:pos="1038"/>
        </w:tabs>
        <w:ind w:left="1038" w:hanging="360"/>
      </w:pPr>
      <w:rPr>
        <w:rFonts w:ascii="Wingdings" w:hAnsi="Wingdings" w:cs="Wingdings" w:hint="default"/>
        <w:sz w:val="20"/>
        <w:szCs w:val="20"/>
      </w:rPr>
    </w:lvl>
    <w:lvl w:ilvl="3">
      <w:start w:val="1"/>
      <w:numFmt w:val="bullet"/>
      <w:lvlText w:val=""/>
      <w:lvlJc w:val="left"/>
      <w:pPr>
        <w:tabs>
          <w:tab w:val="num" w:pos="1758"/>
        </w:tabs>
        <w:ind w:left="1758" w:hanging="360"/>
      </w:pPr>
      <w:rPr>
        <w:rFonts w:ascii="Wingdings" w:hAnsi="Wingdings" w:cs="Wingdings" w:hint="default"/>
        <w:sz w:val="20"/>
        <w:szCs w:val="20"/>
      </w:rPr>
    </w:lvl>
    <w:lvl w:ilvl="4">
      <w:start w:val="1"/>
      <w:numFmt w:val="bullet"/>
      <w:lvlText w:val=""/>
      <w:lvlJc w:val="left"/>
      <w:pPr>
        <w:tabs>
          <w:tab w:val="num" w:pos="2478"/>
        </w:tabs>
        <w:ind w:left="2478" w:hanging="360"/>
      </w:pPr>
      <w:rPr>
        <w:rFonts w:ascii="Wingdings" w:hAnsi="Wingdings" w:cs="Wingdings" w:hint="default"/>
        <w:sz w:val="20"/>
        <w:szCs w:val="20"/>
      </w:rPr>
    </w:lvl>
    <w:lvl w:ilvl="5">
      <w:start w:val="1"/>
      <w:numFmt w:val="bullet"/>
      <w:lvlText w:val=""/>
      <w:lvlJc w:val="left"/>
      <w:pPr>
        <w:tabs>
          <w:tab w:val="num" w:pos="3198"/>
        </w:tabs>
        <w:ind w:left="3198" w:hanging="360"/>
      </w:pPr>
      <w:rPr>
        <w:rFonts w:ascii="Wingdings" w:hAnsi="Wingdings" w:cs="Wingdings" w:hint="default"/>
        <w:sz w:val="20"/>
        <w:szCs w:val="20"/>
      </w:rPr>
    </w:lvl>
    <w:lvl w:ilvl="6">
      <w:start w:val="1"/>
      <w:numFmt w:val="bullet"/>
      <w:lvlText w:val=""/>
      <w:lvlJc w:val="left"/>
      <w:pPr>
        <w:tabs>
          <w:tab w:val="num" w:pos="3918"/>
        </w:tabs>
        <w:ind w:left="3918" w:hanging="360"/>
      </w:pPr>
      <w:rPr>
        <w:rFonts w:ascii="Wingdings" w:hAnsi="Wingdings" w:cs="Wingdings" w:hint="default"/>
        <w:sz w:val="20"/>
        <w:szCs w:val="20"/>
      </w:rPr>
    </w:lvl>
    <w:lvl w:ilvl="7">
      <w:start w:val="1"/>
      <w:numFmt w:val="bullet"/>
      <w:lvlText w:val=""/>
      <w:lvlJc w:val="left"/>
      <w:pPr>
        <w:tabs>
          <w:tab w:val="num" w:pos="4638"/>
        </w:tabs>
        <w:ind w:left="4638" w:hanging="360"/>
      </w:pPr>
      <w:rPr>
        <w:rFonts w:ascii="Wingdings" w:hAnsi="Wingdings" w:cs="Wingdings" w:hint="default"/>
        <w:sz w:val="20"/>
        <w:szCs w:val="20"/>
      </w:rPr>
    </w:lvl>
    <w:lvl w:ilvl="8">
      <w:start w:val="1"/>
      <w:numFmt w:val="bullet"/>
      <w:lvlText w:val=""/>
      <w:lvlJc w:val="left"/>
      <w:pPr>
        <w:tabs>
          <w:tab w:val="num" w:pos="5358"/>
        </w:tabs>
        <w:ind w:left="5358" w:hanging="360"/>
      </w:pPr>
      <w:rPr>
        <w:rFonts w:ascii="Wingdings" w:hAnsi="Wingdings" w:cs="Wingdings" w:hint="default"/>
        <w:sz w:val="20"/>
        <w:szCs w:val="20"/>
      </w:rPr>
    </w:lvl>
  </w:abstractNum>
  <w:abstractNum w:abstractNumId="34">
    <w:nsid w:val="65D2051A"/>
    <w:multiLevelType w:val="multilevel"/>
    <w:tmpl w:val="BB9012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6DDD10C8"/>
    <w:multiLevelType w:val="hybridMultilevel"/>
    <w:tmpl w:val="1C207FF0"/>
    <w:lvl w:ilvl="0" w:tplc="C060BD0A">
      <w:start w:val="3"/>
      <w:numFmt w:val="lowerLetter"/>
      <w:lvlText w:val="%1."/>
      <w:lvlJc w:val="left"/>
      <w:pPr>
        <w:tabs>
          <w:tab w:val="num" w:pos="720"/>
        </w:tabs>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6">
    <w:nsid w:val="6FCE6EC9"/>
    <w:multiLevelType w:val="multilevel"/>
    <w:tmpl w:val="E5F807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nsid w:val="71260E81"/>
    <w:multiLevelType w:val="multilevel"/>
    <w:tmpl w:val="A7C8274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bCs/>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72508BF"/>
    <w:multiLevelType w:val="hybridMultilevel"/>
    <w:tmpl w:val="8D825020"/>
    <w:lvl w:ilvl="0" w:tplc="4AD43BCE">
      <w:start w:val="2"/>
      <w:numFmt w:val="lowerLetter"/>
      <w:lvlText w:val="%1."/>
      <w:lvlJc w:val="left"/>
      <w:pPr>
        <w:tabs>
          <w:tab w:val="num" w:pos="720"/>
        </w:tabs>
        <w:ind w:left="720" w:hanging="360"/>
      </w:pPr>
    </w:lvl>
    <w:lvl w:ilvl="1" w:tplc="CB82D52C">
      <w:start w:val="1"/>
      <w:numFmt w:val="decimal"/>
      <w:lvlText w:val="%2."/>
      <w:lvlJc w:val="left"/>
      <w:pPr>
        <w:tabs>
          <w:tab w:val="num" w:pos="1440"/>
        </w:tabs>
        <w:ind w:left="1440" w:hanging="360"/>
      </w:pPr>
    </w:lvl>
    <w:lvl w:ilvl="2" w:tplc="7BE45218">
      <w:start w:val="1"/>
      <w:numFmt w:val="decimal"/>
      <w:lvlText w:val="%3."/>
      <w:lvlJc w:val="left"/>
      <w:pPr>
        <w:tabs>
          <w:tab w:val="num" w:pos="2160"/>
        </w:tabs>
        <w:ind w:left="2160" w:hanging="360"/>
      </w:pPr>
    </w:lvl>
    <w:lvl w:ilvl="3" w:tplc="EE50FE56">
      <w:start w:val="1"/>
      <w:numFmt w:val="decimal"/>
      <w:lvlText w:val="%4."/>
      <w:lvlJc w:val="left"/>
      <w:pPr>
        <w:tabs>
          <w:tab w:val="num" w:pos="2880"/>
        </w:tabs>
        <w:ind w:left="2880" w:hanging="360"/>
      </w:pPr>
    </w:lvl>
    <w:lvl w:ilvl="4" w:tplc="B608F91A">
      <w:start w:val="1"/>
      <w:numFmt w:val="decimal"/>
      <w:lvlText w:val="%5."/>
      <w:lvlJc w:val="left"/>
      <w:pPr>
        <w:tabs>
          <w:tab w:val="num" w:pos="3600"/>
        </w:tabs>
        <w:ind w:left="3600" w:hanging="360"/>
      </w:pPr>
    </w:lvl>
    <w:lvl w:ilvl="5" w:tplc="227EB676">
      <w:start w:val="1"/>
      <w:numFmt w:val="decimal"/>
      <w:lvlText w:val="%6."/>
      <w:lvlJc w:val="left"/>
      <w:pPr>
        <w:tabs>
          <w:tab w:val="num" w:pos="4320"/>
        </w:tabs>
        <w:ind w:left="4320" w:hanging="360"/>
      </w:pPr>
    </w:lvl>
    <w:lvl w:ilvl="6" w:tplc="6C9AE3EA">
      <w:start w:val="1"/>
      <w:numFmt w:val="decimal"/>
      <w:lvlText w:val="%7."/>
      <w:lvlJc w:val="left"/>
      <w:pPr>
        <w:tabs>
          <w:tab w:val="num" w:pos="5040"/>
        </w:tabs>
        <w:ind w:left="5040" w:hanging="360"/>
      </w:pPr>
    </w:lvl>
    <w:lvl w:ilvl="7" w:tplc="2CDA0690">
      <w:start w:val="1"/>
      <w:numFmt w:val="decimal"/>
      <w:lvlText w:val="%8."/>
      <w:lvlJc w:val="left"/>
      <w:pPr>
        <w:tabs>
          <w:tab w:val="num" w:pos="5760"/>
        </w:tabs>
        <w:ind w:left="5760" w:hanging="360"/>
      </w:pPr>
    </w:lvl>
    <w:lvl w:ilvl="8" w:tplc="24985742">
      <w:start w:val="1"/>
      <w:numFmt w:val="decimal"/>
      <w:lvlText w:val="%9."/>
      <w:lvlJc w:val="left"/>
      <w:pPr>
        <w:tabs>
          <w:tab w:val="num" w:pos="6480"/>
        </w:tabs>
        <w:ind w:left="6480" w:hanging="360"/>
      </w:pPr>
    </w:lvl>
  </w:abstractNum>
  <w:abstractNum w:abstractNumId="39">
    <w:nsid w:val="7796047B"/>
    <w:multiLevelType w:val="hybridMultilevel"/>
    <w:tmpl w:val="08BA0F68"/>
    <w:lvl w:ilvl="0" w:tplc="7DB27338">
      <w:start w:val="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0">
    <w:nsid w:val="7B222D58"/>
    <w:multiLevelType w:val="multilevel"/>
    <w:tmpl w:val="EADEF86E"/>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4"/>
  </w:num>
  <w:num w:numId="2">
    <w:abstractNumId w:val="37"/>
  </w:num>
  <w:num w:numId="3">
    <w:abstractNumId w:val="7"/>
  </w:num>
  <w:num w:numId="4">
    <w:abstractNumId w:val="38"/>
  </w:num>
  <w:num w:numId="5">
    <w:abstractNumId w:val="32"/>
  </w:num>
  <w:num w:numId="6">
    <w:abstractNumId w:val="36"/>
  </w:num>
  <w:num w:numId="7">
    <w:abstractNumId w:val="15"/>
  </w:num>
  <w:num w:numId="8">
    <w:abstractNumId w:val="10"/>
  </w:num>
  <w:num w:numId="9">
    <w:abstractNumId w:val="25"/>
  </w:num>
  <w:num w:numId="10">
    <w:abstractNumId w:val="26"/>
  </w:num>
  <w:num w:numId="11">
    <w:abstractNumId w:val="27"/>
  </w:num>
  <w:num w:numId="12">
    <w:abstractNumId w:val="33"/>
  </w:num>
  <w:num w:numId="13">
    <w:abstractNumId w:val="9"/>
  </w:num>
  <w:num w:numId="14">
    <w:abstractNumId w:val="8"/>
  </w:num>
  <w:num w:numId="15">
    <w:abstractNumId w:val="20"/>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cs="Symbol" w:hint="default"/>
          <w:sz w:val="20"/>
          <w:szCs w:val="20"/>
        </w:rPr>
      </w:lvl>
    </w:lvlOverride>
  </w:num>
  <w:num w:numId="16">
    <w:abstractNumId w:val="3"/>
  </w:num>
  <w:num w:numId="17">
    <w:abstractNumId w:val="21"/>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cs="Symbol" w:hint="default"/>
          <w:sz w:val="20"/>
          <w:szCs w:val="20"/>
        </w:rPr>
      </w:lvl>
    </w:lvlOverride>
  </w:num>
  <w:num w:numId="18">
    <w:abstractNumId w:val="30"/>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cs="Symbol" w:hint="default"/>
          <w:sz w:val="20"/>
          <w:szCs w:val="20"/>
        </w:rPr>
      </w:lvl>
    </w:lvlOverride>
  </w:num>
  <w:num w:numId="19">
    <w:abstractNumId w:val="24"/>
  </w:num>
  <w:num w:numId="20">
    <w:abstractNumId w:val="13"/>
  </w:num>
  <w:num w:numId="21">
    <w:abstractNumId w:val="22"/>
  </w:num>
  <w:num w:numId="22">
    <w:abstractNumId w:val="1"/>
  </w:num>
  <w:num w:numId="23">
    <w:abstractNumId w:val="18"/>
  </w:num>
  <w:num w:numId="24">
    <w:abstractNumId w:val="17"/>
  </w:num>
  <w:num w:numId="25">
    <w:abstractNumId w:val="34"/>
  </w:num>
  <w:num w:numId="26">
    <w:abstractNumId w:val="31"/>
  </w:num>
  <w:num w:numId="27">
    <w:abstractNumId w:val="23"/>
  </w:num>
  <w:num w:numId="28">
    <w:abstractNumId w:val="11"/>
  </w:num>
  <w:num w:numId="29">
    <w:abstractNumId w:val="2"/>
  </w:num>
  <w:num w:numId="30">
    <w:abstractNumId w:val="40"/>
  </w:num>
  <w:num w:numId="31">
    <w:abstractNumId w:val="6"/>
  </w:num>
  <w:num w:numId="32">
    <w:abstractNumId w:val="29"/>
  </w:num>
  <w:num w:numId="33">
    <w:abstractNumId w:val="0"/>
  </w:num>
  <w:num w:numId="34">
    <w:abstractNumId w:val="19"/>
  </w:num>
  <w:num w:numId="35">
    <w:abstractNumId w:val="5"/>
  </w:num>
  <w:num w:numId="36">
    <w:abstractNumId w:val="39"/>
  </w:num>
  <w:num w:numId="37">
    <w:abstractNumId w:val="28"/>
  </w:num>
  <w:num w:numId="38">
    <w:abstractNumId w:val="35"/>
  </w:num>
  <w:num w:numId="39">
    <w:abstractNumId w:val="21"/>
    <w:lvlOverride w:ilvl="0">
      <w:lvl w:ilvl="0">
        <w:numFmt w:val="decimal"/>
        <w:lvlText w:val=""/>
        <w:lvlJc w:val="left"/>
      </w:lvl>
    </w:lvlOverride>
    <w:lvlOverride w:ilvl="1">
      <w:lvl w:ilvl="1">
        <w:numFmt w:val="decimal"/>
        <w:lvlText w:val=""/>
        <w:lvlJc w:val="left"/>
      </w:lvl>
    </w:lvlOverride>
    <w:lvlOverride w:ilvl="2">
      <w:lvl w:ilvl="2">
        <w:start w:val="1"/>
        <w:numFmt w:val="bullet"/>
        <w:lvlText w:val=""/>
        <w:lvlJc w:val="left"/>
        <w:pPr>
          <w:tabs>
            <w:tab w:val="num" w:pos="2160"/>
          </w:tabs>
          <w:ind w:left="2160" w:hanging="360"/>
        </w:pPr>
        <w:rPr>
          <w:rFonts w:ascii="Symbol" w:hAnsi="Symbol" w:cs="Symbol" w:hint="default"/>
          <w:sz w:val="20"/>
          <w:szCs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0">
    <w:abstractNumId w:val="4"/>
  </w:num>
  <w:num w:numId="41">
    <w:abstractNumId w:val="12"/>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2"/>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9"/>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16DE"/>
    <w:rsid w:val="0004659F"/>
    <w:rsid w:val="00050019"/>
    <w:rsid w:val="00071713"/>
    <w:rsid w:val="000820CE"/>
    <w:rsid w:val="00082908"/>
    <w:rsid w:val="000854F3"/>
    <w:rsid w:val="000D58B1"/>
    <w:rsid w:val="00110D3C"/>
    <w:rsid w:val="0012039B"/>
    <w:rsid w:val="0016317B"/>
    <w:rsid w:val="0016354D"/>
    <w:rsid w:val="001C33A1"/>
    <w:rsid w:val="001F3050"/>
    <w:rsid w:val="001F6B30"/>
    <w:rsid w:val="0023246E"/>
    <w:rsid w:val="00244235"/>
    <w:rsid w:val="00262391"/>
    <w:rsid w:val="002A49BF"/>
    <w:rsid w:val="00330442"/>
    <w:rsid w:val="0033733C"/>
    <w:rsid w:val="00346F65"/>
    <w:rsid w:val="00347316"/>
    <w:rsid w:val="00382AFF"/>
    <w:rsid w:val="003903C9"/>
    <w:rsid w:val="003A10CE"/>
    <w:rsid w:val="003C310B"/>
    <w:rsid w:val="003E6E2A"/>
    <w:rsid w:val="00414ED7"/>
    <w:rsid w:val="00423FCB"/>
    <w:rsid w:val="00435CF3"/>
    <w:rsid w:val="00436F45"/>
    <w:rsid w:val="00461DEA"/>
    <w:rsid w:val="00487190"/>
    <w:rsid w:val="0048769F"/>
    <w:rsid w:val="004932DE"/>
    <w:rsid w:val="0051226F"/>
    <w:rsid w:val="005A76A3"/>
    <w:rsid w:val="005E265D"/>
    <w:rsid w:val="0060062A"/>
    <w:rsid w:val="00614665"/>
    <w:rsid w:val="006653C5"/>
    <w:rsid w:val="006674C1"/>
    <w:rsid w:val="00672A83"/>
    <w:rsid w:val="006A2819"/>
    <w:rsid w:val="006D43D8"/>
    <w:rsid w:val="007461BA"/>
    <w:rsid w:val="00780F8E"/>
    <w:rsid w:val="00782522"/>
    <w:rsid w:val="00797736"/>
    <w:rsid w:val="007D6B02"/>
    <w:rsid w:val="007F39ED"/>
    <w:rsid w:val="007F6133"/>
    <w:rsid w:val="00810BA7"/>
    <w:rsid w:val="008322FE"/>
    <w:rsid w:val="008379A5"/>
    <w:rsid w:val="00865C4B"/>
    <w:rsid w:val="008752A5"/>
    <w:rsid w:val="008874D9"/>
    <w:rsid w:val="00892AE0"/>
    <w:rsid w:val="00893B00"/>
    <w:rsid w:val="008A6A8A"/>
    <w:rsid w:val="008C5E20"/>
    <w:rsid w:val="009077FC"/>
    <w:rsid w:val="00922CF5"/>
    <w:rsid w:val="00954246"/>
    <w:rsid w:val="009716DE"/>
    <w:rsid w:val="009A7711"/>
    <w:rsid w:val="00A2160C"/>
    <w:rsid w:val="00A70E9D"/>
    <w:rsid w:val="00AC5B90"/>
    <w:rsid w:val="00B008C9"/>
    <w:rsid w:val="00B454E6"/>
    <w:rsid w:val="00B53010"/>
    <w:rsid w:val="00B648B2"/>
    <w:rsid w:val="00B8735C"/>
    <w:rsid w:val="00C20942"/>
    <w:rsid w:val="00C72E1A"/>
    <w:rsid w:val="00C81158"/>
    <w:rsid w:val="00C9450D"/>
    <w:rsid w:val="00CB52D2"/>
    <w:rsid w:val="00CE05AA"/>
    <w:rsid w:val="00CE6EF9"/>
    <w:rsid w:val="00D05907"/>
    <w:rsid w:val="00D272AF"/>
    <w:rsid w:val="00D44C8F"/>
    <w:rsid w:val="00D65302"/>
    <w:rsid w:val="00D870CF"/>
    <w:rsid w:val="00DA2BF6"/>
    <w:rsid w:val="00DC6DC6"/>
    <w:rsid w:val="00DD28C0"/>
    <w:rsid w:val="00DF588B"/>
    <w:rsid w:val="00DF73D9"/>
    <w:rsid w:val="00E41B14"/>
    <w:rsid w:val="00ED38D2"/>
    <w:rsid w:val="00F101A7"/>
    <w:rsid w:val="00F11DF4"/>
    <w:rsid w:val="00F24475"/>
    <w:rsid w:val="00F4471B"/>
    <w:rsid w:val="00F743B5"/>
    <w:rsid w:val="00F910CC"/>
    <w:rsid w:val="00FA1C5D"/>
    <w:rsid w:val="00FA3267"/>
    <w:rsid w:val="00FB3495"/>
    <w:rsid w:val="00FB3577"/>
    <w:rsid w:val="00FE642C"/>
    <w:rsid w:val="00FE744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050"/>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9716D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aliases w:val="Section,EC,Colorful List - Accent 11,Paragraphe de liste1,Bullets,List Paragraph (numbered (a)),List_Paragraph,Multilevel para_II,List Paragraph1,Paragraphe de liste11,Colorful List - Accent 111,Dot pt,No Spacing1,lp1,Reco"/>
    <w:basedOn w:val="Normal"/>
    <w:link w:val="ListParagraphChar"/>
    <w:uiPriority w:val="99"/>
    <w:qFormat/>
    <w:rsid w:val="009716DE"/>
    <w:pPr>
      <w:ind w:left="720"/>
    </w:pPr>
  </w:style>
  <w:style w:type="paragraph" w:styleId="Header">
    <w:name w:val="header"/>
    <w:basedOn w:val="Normal"/>
    <w:link w:val="HeaderChar"/>
    <w:uiPriority w:val="99"/>
    <w:rsid w:val="009716DE"/>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9716DE"/>
  </w:style>
  <w:style w:type="paragraph" w:styleId="Footer">
    <w:name w:val="footer"/>
    <w:basedOn w:val="Normal"/>
    <w:link w:val="FooterChar"/>
    <w:uiPriority w:val="99"/>
    <w:rsid w:val="009716D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9716DE"/>
  </w:style>
  <w:style w:type="paragraph" w:styleId="BalloonText">
    <w:name w:val="Balloon Text"/>
    <w:basedOn w:val="Normal"/>
    <w:link w:val="BalloonTextChar"/>
    <w:uiPriority w:val="99"/>
    <w:semiHidden/>
    <w:rsid w:val="00436F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36F45"/>
    <w:rPr>
      <w:rFonts w:ascii="Segoe UI" w:hAnsi="Segoe UI" w:cs="Segoe UI"/>
      <w:sz w:val="18"/>
      <w:szCs w:val="18"/>
    </w:rPr>
  </w:style>
  <w:style w:type="character" w:styleId="CommentReference">
    <w:name w:val="annotation reference"/>
    <w:basedOn w:val="DefaultParagraphFont"/>
    <w:uiPriority w:val="99"/>
    <w:semiHidden/>
    <w:rsid w:val="005A76A3"/>
    <w:rPr>
      <w:sz w:val="16"/>
      <w:szCs w:val="16"/>
    </w:rPr>
  </w:style>
  <w:style w:type="paragraph" w:styleId="CommentText">
    <w:name w:val="annotation text"/>
    <w:basedOn w:val="Normal"/>
    <w:link w:val="CommentTextChar"/>
    <w:uiPriority w:val="99"/>
    <w:semiHidden/>
    <w:rsid w:val="005A76A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A76A3"/>
    <w:rPr>
      <w:sz w:val="20"/>
      <w:szCs w:val="20"/>
    </w:rPr>
  </w:style>
  <w:style w:type="paragraph" w:styleId="CommentSubject">
    <w:name w:val="annotation subject"/>
    <w:basedOn w:val="CommentText"/>
    <w:next w:val="CommentText"/>
    <w:link w:val="CommentSubjectChar"/>
    <w:uiPriority w:val="99"/>
    <w:semiHidden/>
    <w:rsid w:val="005A76A3"/>
    <w:rPr>
      <w:b/>
      <w:bCs/>
    </w:rPr>
  </w:style>
  <w:style w:type="character" w:customStyle="1" w:styleId="CommentSubjectChar">
    <w:name w:val="Comment Subject Char"/>
    <w:basedOn w:val="CommentTextChar"/>
    <w:link w:val="CommentSubject"/>
    <w:uiPriority w:val="99"/>
    <w:semiHidden/>
    <w:locked/>
    <w:rsid w:val="005A76A3"/>
    <w:rPr>
      <w:b/>
      <w:bCs/>
    </w:rPr>
  </w:style>
  <w:style w:type="paragraph" w:styleId="NoSpacing">
    <w:name w:val="No Spacing"/>
    <w:uiPriority w:val="99"/>
    <w:qFormat/>
    <w:rsid w:val="003C310B"/>
    <w:rPr>
      <w:rFonts w:cs="Calibri"/>
      <w:lang w:eastAsia="en-US"/>
    </w:rPr>
  </w:style>
  <w:style w:type="character" w:customStyle="1" w:styleId="ListParagraphChar">
    <w:name w:val="List Paragraph Char"/>
    <w:aliases w:val="Section Char,EC Char,Colorful List - Accent 11 Char,Paragraphe de liste1 Char,Bullets Char,List Paragraph (numbered (a)) Char,List_Paragraph Char,Multilevel para_II Char,List Paragraph1 Char,Paragraphe de liste11 Char,Dot pt Char"/>
    <w:link w:val="ListParagraph"/>
    <w:uiPriority w:val="99"/>
    <w:locked/>
    <w:rsid w:val="003C310B"/>
  </w:style>
  <w:style w:type="character" w:styleId="Hyperlink">
    <w:name w:val="Hyperlink"/>
    <w:basedOn w:val="DefaultParagraphFont"/>
    <w:uiPriority w:val="99"/>
    <w:rsid w:val="00ED38D2"/>
    <w:rPr>
      <w:color w:val="0563C1"/>
      <w:u w:val="single"/>
    </w:rPr>
  </w:style>
</w:styles>
</file>

<file path=word/webSettings.xml><?xml version="1.0" encoding="utf-8"?>
<w:webSettings xmlns:r="http://schemas.openxmlformats.org/officeDocument/2006/relationships" xmlns:w="http://schemas.openxmlformats.org/wordprocessingml/2006/main">
  <w:divs>
    <w:div w:id="900284709">
      <w:marLeft w:val="0"/>
      <w:marRight w:val="0"/>
      <w:marTop w:val="0"/>
      <w:marBottom w:val="0"/>
      <w:divBdr>
        <w:top w:val="none" w:sz="0" w:space="0" w:color="auto"/>
        <w:left w:val="none" w:sz="0" w:space="0" w:color="auto"/>
        <w:bottom w:val="none" w:sz="0" w:space="0" w:color="auto"/>
        <w:right w:val="none" w:sz="0" w:space="0" w:color="auto"/>
      </w:divBdr>
    </w:div>
    <w:div w:id="900284710">
      <w:marLeft w:val="0"/>
      <w:marRight w:val="0"/>
      <w:marTop w:val="0"/>
      <w:marBottom w:val="0"/>
      <w:divBdr>
        <w:top w:val="none" w:sz="0" w:space="0" w:color="auto"/>
        <w:left w:val="none" w:sz="0" w:space="0" w:color="auto"/>
        <w:bottom w:val="none" w:sz="0" w:space="0" w:color="auto"/>
        <w:right w:val="none" w:sz="0" w:space="0" w:color="auto"/>
      </w:divBdr>
    </w:div>
    <w:div w:id="900284711">
      <w:marLeft w:val="0"/>
      <w:marRight w:val="0"/>
      <w:marTop w:val="0"/>
      <w:marBottom w:val="0"/>
      <w:divBdr>
        <w:top w:val="none" w:sz="0" w:space="0" w:color="auto"/>
        <w:left w:val="none" w:sz="0" w:space="0" w:color="auto"/>
        <w:bottom w:val="none" w:sz="0" w:space="0" w:color="auto"/>
        <w:right w:val="none" w:sz="0" w:space="0" w:color="auto"/>
      </w:divBdr>
    </w:div>
    <w:div w:id="900284712">
      <w:marLeft w:val="0"/>
      <w:marRight w:val="0"/>
      <w:marTop w:val="0"/>
      <w:marBottom w:val="0"/>
      <w:divBdr>
        <w:top w:val="none" w:sz="0" w:space="0" w:color="auto"/>
        <w:left w:val="none" w:sz="0" w:space="0" w:color="auto"/>
        <w:bottom w:val="none" w:sz="0" w:space="0" w:color="auto"/>
        <w:right w:val="none" w:sz="0" w:space="0" w:color="auto"/>
      </w:divBdr>
    </w:div>
    <w:div w:id="9002847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hesion-territoires.gouv.f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Pages>
  <Words>1685</Words>
  <Characters>9269</Characters>
  <Application>Microsoft Office Outlook</Application>
  <DocSecurity>0</DocSecurity>
  <Lines>0</Lines>
  <Paragraphs>0</Paragraphs>
  <ScaleCrop>false</ScaleCrop>
  <Company>Cabinet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LHERBIER Gauthier</dc:creator>
  <cp:keywords/>
  <dc:description/>
  <cp:lastModifiedBy>gliot</cp:lastModifiedBy>
  <cp:revision>3</cp:revision>
  <cp:lastPrinted>2020-03-25T12:41:00Z</cp:lastPrinted>
  <dcterms:created xsi:type="dcterms:W3CDTF">2020-03-26T11:09:00Z</dcterms:created>
  <dcterms:modified xsi:type="dcterms:W3CDTF">2020-03-26T11:11:00Z</dcterms:modified>
</cp:coreProperties>
</file>