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D0" w:rsidRDefault="003F4778" w:rsidP="00A422C4">
      <w:pPr>
        <w:jc w:val="center"/>
      </w:pPr>
      <w:r>
        <w:rPr>
          <w:noProof/>
        </w:rPr>
        <w:drawing>
          <wp:anchor distT="0" distB="0" distL="114300" distR="114300" simplePos="0" relativeHeight="251656192" behindDoc="1" locked="0" layoutInCell="1" allowOverlap="1">
            <wp:simplePos x="0" y="0"/>
            <wp:positionH relativeFrom="column">
              <wp:posOffset>0</wp:posOffset>
            </wp:positionH>
            <wp:positionV relativeFrom="paragraph">
              <wp:posOffset>-114300</wp:posOffset>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057275" cy="933450"/>
                    </a:xfrm>
                    <a:prstGeom prst="rect">
                      <a:avLst/>
                    </a:prstGeom>
                    <a:noFill/>
                  </pic:spPr>
                </pic:pic>
              </a:graphicData>
            </a:graphic>
          </wp:anchor>
        </w:drawing>
      </w:r>
      <w:r w:rsidR="00DD5FD0">
        <w:t>COMMUNE D’AUSSAC-VADALLE</w:t>
      </w:r>
    </w:p>
    <w:p w:rsidR="00DD5FD0" w:rsidRPr="004D439D" w:rsidRDefault="00DD5FD0" w:rsidP="00A422C4">
      <w:pPr>
        <w:pStyle w:val="Sous-titre"/>
        <w:rPr>
          <w:rFonts w:cs="Times New Roman"/>
          <w:sz w:val="16"/>
          <w:szCs w:val="16"/>
        </w:rPr>
      </w:pPr>
      <w:r>
        <w:t>Feuille d'informations municipales</w:t>
      </w:r>
    </w:p>
    <w:p w:rsidR="00DD5FD0" w:rsidRDefault="00DD5FD0" w:rsidP="00A422C4">
      <w:pPr>
        <w:jc w:val="center"/>
        <w:rPr>
          <w:rFonts w:ascii="Arial Narrow" w:hAnsi="Arial Narrow" w:cs="Arial Narrow"/>
          <w:sz w:val="16"/>
          <w:szCs w:val="16"/>
        </w:rPr>
      </w:pPr>
      <w:r>
        <w:rPr>
          <w:rFonts w:ascii="Arial Narrow" w:hAnsi="Arial Narrow" w:cs="Arial Narrow"/>
          <w:sz w:val="16"/>
          <w:szCs w:val="16"/>
        </w:rPr>
        <w:t> </w:t>
      </w:r>
    </w:p>
    <w:p w:rsidR="00DD5FD0" w:rsidRDefault="00DD5FD0" w:rsidP="00A422C4">
      <w:pPr>
        <w:tabs>
          <w:tab w:val="left" w:pos="4320"/>
        </w:tabs>
        <w:jc w:val="center"/>
        <w:rPr>
          <w:rFonts w:ascii="Arial Narrow" w:hAnsi="Arial Narrow" w:cs="Arial Narrow"/>
          <w:b/>
          <w:bCs/>
        </w:rPr>
      </w:pPr>
      <w:r>
        <w:rPr>
          <w:rFonts w:ascii="Arial Narrow" w:hAnsi="Arial Narrow" w:cs="Arial Narrow"/>
          <w:b/>
          <w:bCs/>
        </w:rPr>
        <w:t>N° 244 du lundi 26 avril  2021</w:t>
      </w:r>
    </w:p>
    <w:p w:rsidR="00DD5FD0" w:rsidRDefault="00DD5FD0" w:rsidP="00DB758C">
      <w:pPr>
        <w:pStyle w:val="Rpertoire"/>
        <w:suppressLineNumbers w:val="0"/>
        <w:rPr>
          <w:b/>
          <w:bCs/>
          <w:u w:val="single"/>
        </w:rPr>
      </w:pPr>
      <w:r>
        <w:tab/>
      </w:r>
      <w:r>
        <w:tab/>
      </w:r>
      <w:r>
        <w:tab/>
      </w:r>
      <w:r>
        <w:rPr>
          <w:sz w:val="16"/>
          <w:szCs w:val="16"/>
        </w:rPr>
        <w:t> </w:t>
      </w:r>
      <w:r>
        <w:t>   </w:t>
      </w:r>
    </w:p>
    <w:p w:rsidR="00DD5FD0" w:rsidRDefault="00DD5FD0" w:rsidP="000D6382">
      <w:pPr>
        <w:rPr>
          <w:b/>
          <w:bCs/>
          <w:sz w:val="20"/>
          <w:szCs w:val="20"/>
          <w:u w:val="single"/>
        </w:rPr>
      </w:pPr>
    </w:p>
    <w:p w:rsidR="00DD5FD0" w:rsidRDefault="00DD5FD0" w:rsidP="00D26505">
      <w:r>
        <w:rPr>
          <w:b/>
          <w:bCs/>
          <w:u w:val="single"/>
        </w:rPr>
        <w:t xml:space="preserve">Vote du Budget 2021 </w:t>
      </w:r>
      <w:r>
        <w:t>:</w:t>
      </w:r>
    </w:p>
    <w:p w:rsidR="00DD5FD0" w:rsidRPr="0040158F" w:rsidRDefault="00DD5FD0" w:rsidP="00D26505">
      <w:pPr>
        <w:rPr>
          <w:sz w:val="16"/>
          <w:szCs w:val="16"/>
        </w:rPr>
      </w:pPr>
    </w:p>
    <w:p w:rsidR="00DD5FD0" w:rsidRDefault="00DD5FD0" w:rsidP="003F4778">
      <w:pPr>
        <w:jc w:val="both"/>
      </w:pPr>
      <w:r w:rsidRPr="00240DA9">
        <w:t xml:space="preserve">Le Conseil Municipal a voté </w:t>
      </w:r>
      <w:r>
        <w:t xml:space="preserve">le </w:t>
      </w:r>
      <w:r w:rsidRPr="00240DA9">
        <w:t xml:space="preserve">mardi </w:t>
      </w:r>
      <w:r>
        <w:t xml:space="preserve">13 avril </w:t>
      </w:r>
      <w:r w:rsidRPr="00240DA9">
        <w:t xml:space="preserve"> le </w:t>
      </w:r>
      <w:r>
        <w:t>budget 2021 de la commune sans augmentation de la part communale des impôts.</w:t>
      </w:r>
    </w:p>
    <w:p w:rsidR="00DD5FD0" w:rsidRDefault="00DD5FD0" w:rsidP="003F4778">
      <w:pPr>
        <w:jc w:val="both"/>
      </w:pPr>
      <w:r>
        <w:t>Les taux communaux s’ét</w:t>
      </w:r>
      <w:r w:rsidR="007B2F2F">
        <w:t>ablissent comme suit : Foncier b</w:t>
      </w:r>
      <w:r>
        <w:t>âti : 43,89 % ; Foncier non bâti : 64,38 %</w:t>
      </w:r>
      <w:r w:rsidR="003F4778">
        <w:t xml:space="preserve"> </w:t>
      </w:r>
      <w:r>
        <w:t>;</w:t>
      </w:r>
    </w:p>
    <w:p w:rsidR="00DD5FD0" w:rsidRDefault="00DD5FD0" w:rsidP="003F4778">
      <w:pPr>
        <w:jc w:val="both"/>
      </w:pPr>
      <w:r>
        <w:t>CFE : 21,57%.</w:t>
      </w:r>
    </w:p>
    <w:p w:rsidR="00DD5FD0" w:rsidRDefault="00DD5FD0" w:rsidP="003F4778">
      <w:pPr>
        <w:jc w:val="both"/>
      </w:pPr>
      <w:r>
        <w:t>Le foncier bâti inclut à compter de cette année le taux de la part départementale en remplacement de la taxe d’habitation qui est supprimée pour les communes.</w:t>
      </w:r>
    </w:p>
    <w:p w:rsidR="00DD5FD0" w:rsidRDefault="00DD5FD0" w:rsidP="003F4778">
      <w:pPr>
        <w:jc w:val="both"/>
        <w:rPr>
          <w:b/>
          <w:bCs/>
        </w:rPr>
      </w:pPr>
      <w:r>
        <w:t xml:space="preserve">Les sections s’équilibrent en dépenses et en recettes pour le fonctionnement à </w:t>
      </w:r>
      <w:r w:rsidRPr="002805A1">
        <w:rPr>
          <w:b/>
          <w:bCs/>
        </w:rPr>
        <w:t>597 962,89 €</w:t>
      </w:r>
      <w:r>
        <w:t xml:space="preserve"> et pour l’investissement  à </w:t>
      </w:r>
      <w:r w:rsidRPr="002805A1">
        <w:rPr>
          <w:b/>
          <w:bCs/>
        </w:rPr>
        <w:t>312 680,72 €.</w:t>
      </w:r>
    </w:p>
    <w:p w:rsidR="00DD5FD0" w:rsidRDefault="00DD5FD0" w:rsidP="003F4778">
      <w:pPr>
        <w:jc w:val="both"/>
        <w:rPr>
          <w:b/>
          <w:bCs/>
        </w:rPr>
      </w:pPr>
    </w:p>
    <w:p w:rsidR="00DD5FD0" w:rsidRDefault="00DD5FD0" w:rsidP="003F4778">
      <w:pPr>
        <w:jc w:val="both"/>
        <w:rPr>
          <w:b/>
          <w:bCs/>
        </w:rPr>
      </w:pPr>
      <w:r>
        <w:rPr>
          <w:b/>
          <w:bCs/>
        </w:rPr>
        <w:t xml:space="preserve">Soit un budget total de </w:t>
      </w:r>
      <w:r w:rsidRPr="00690849">
        <w:rPr>
          <w:b/>
          <w:bCs/>
        </w:rPr>
        <w:t>910 643,61</w:t>
      </w:r>
      <w:r>
        <w:rPr>
          <w:b/>
          <w:bCs/>
        </w:rPr>
        <w:t xml:space="preserve"> € </w:t>
      </w:r>
    </w:p>
    <w:p w:rsidR="00DD5FD0" w:rsidRDefault="00DD5FD0" w:rsidP="00240DA9">
      <w:pPr>
        <w:rPr>
          <w:b/>
          <w:bCs/>
        </w:rPr>
      </w:pPr>
    </w:p>
    <w:tbl>
      <w:tblPr>
        <w:tblW w:w="10902" w:type="dxa"/>
        <w:jc w:val="center"/>
        <w:tblCellMar>
          <w:left w:w="70" w:type="dxa"/>
          <w:right w:w="70" w:type="dxa"/>
        </w:tblCellMar>
        <w:tblLook w:val="0000"/>
      </w:tblPr>
      <w:tblGrid>
        <w:gridCol w:w="2970"/>
        <w:gridCol w:w="1666"/>
        <w:gridCol w:w="4446"/>
        <w:gridCol w:w="1820"/>
      </w:tblGrid>
      <w:tr w:rsidR="00DD5FD0" w:rsidRPr="00690849">
        <w:trPr>
          <w:trHeight w:val="276"/>
          <w:jc w:val="center"/>
        </w:trPr>
        <w:tc>
          <w:tcPr>
            <w:tcW w:w="10902" w:type="dxa"/>
            <w:gridSpan w:val="4"/>
            <w:tcBorders>
              <w:top w:val="single" w:sz="8" w:space="0" w:color="auto"/>
              <w:left w:val="single" w:sz="8" w:space="0" w:color="auto"/>
              <w:bottom w:val="nil"/>
              <w:right w:val="single" w:sz="8" w:space="0" w:color="000000"/>
            </w:tcBorders>
            <w:noWrap/>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Section de fonctionnement</w:t>
            </w:r>
          </w:p>
        </w:tc>
      </w:tr>
      <w:tr w:rsidR="00DD5FD0" w:rsidRPr="00690849">
        <w:trPr>
          <w:trHeight w:val="276"/>
          <w:jc w:val="center"/>
        </w:trPr>
        <w:tc>
          <w:tcPr>
            <w:tcW w:w="2970" w:type="dxa"/>
            <w:tcBorders>
              <w:top w:val="single" w:sz="8" w:space="0" w:color="auto"/>
              <w:left w:val="single" w:sz="8" w:space="0" w:color="auto"/>
              <w:bottom w:val="single" w:sz="8" w:space="0" w:color="auto"/>
              <w:right w:val="single" w:sz="4" w:space="0" w:color="auto"/>
            </w:tcBorders>
            <w:noWrap/>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Dépenses</w:t>
            </w:r>
          </w:p>
        </w:tc>
        <w:tc>
          <w:tcPr>
            <w:tcW w:w="1666" w:type="dxa"/>
            <w:tcBorders>
              <w:top w:val="single" w:sz="8" w:space="0" w:color="auto"/>
              <w:left w:val="nil"/>
              <w:bottom w:val="single" w:sz="8" w:space="0" w:color="auto"/>
              <w:right w:val="single" w:sz="4" w:space="0" w:color="auto"/>
            </w:tcBorders>
            <w:shd w:val="clear" w:color="auto" w:fill="FFFFFF"/>
            <w:noWrap/>
            <w:vAlign w:val="bottom"/>
          </w:tcPr>
          <w:p w:rsidR="00DD5FD0" w:rsidRPr="00690849" w:rsidRDefault="00DD5FD0" w:rsidP="002805A1">
            <w:pPr>
              <w:jc w:val="right"/>
              <w:rPr>
                <w:rFonts w:ascii="Arial" w:hAnsi="Arial" w:cs="Arial"/>
                <w:b/>
                <w:bCs/>
                <w:sz w:val="20"/>
                <w:szCs w:val="20"/>
              </w:rPr>
            </w:pPr>
            <w:r w:rsidRPr="00690849">
              <w:rPr>
                <w:rFonts w:ascii="Arial" w:hAnsi="Arial" w:cs="Arial"/>
                <w:b/>
                <w:bCs/>
                <w:sz w:val="20"/>
                <w:szCs w:val="20"/>
              </w:rPr>
              <w:t>597 962,89 €</w:t>
            </w:r>
          </w:p>
        </w:tc>
        <w:tc>
          <w:tcPr>
            <w:tcW w:w="4446" w:type="dxa"/>
            <w:tcBorders>
              <w:top w:val="single" w:sz="8" w:space="0" w:color="auto"/>
              <w:left w:val="nil"/>
              <w:bottom w:val="single" w:sz="8" w:space="0" w:color="auto"/>
              <w:right w:val="single" w:sz="4" w:space="0" w:color="auto"/>
            </w:tcBorders>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Recettes</w:t>
            </w:r>
          </w:p>
        </w:tc>
        <w:tc>
          <w:tcPr>
            <w:tcW w:w="1820" w:type="dxa"/>
            <w:tcBorders>
              <w:top w:val="single" w:sz="8" w:space="0" w:color="auto"/>
              <w:left w:val="nil"/>
              <w:bottom w:val="single" w:sz="8" w:space="0" w:color="auto"/>
              <w:right w:val="single" w:sz="8" w:space="0" w:color="auto"/>
            </w:tcBorders>
            <w:vAlign w:val="bottom"/>
          </w:tcPr>
          <w:p w:rsidR="00DD5FD0" w:rsidRPr="00690849" w:rsidRDefault="00DD5FD0" w:rsidP="002805A1">
            <w:pPr>
              <w:jc w:val="right"/>
              <w:rPr>
                <w:rFonts w:ascii="Arial" w:hAnsi="Arial" w:cs="Arial"/>
                <w:b/>
                <w:bCs/>
                <w:sz w:val="20"/>
                <w:szCs w:val="20"/>
              </w:rPr>
            </w:pPr>
            <w:r w:rsidRPr="00690849">
              <w:rPr>
                <w:rFonts w:ascii="Arial" w:hAnsi="Arial" w:cs="Arial"/>
                <w:b/>
                <w:bCs/>
                <w:sz w:val="20"/>
                <w:szCs w:val="20"/>
              </w:rPr>
              <w:t>597 962,89 €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générales 011</w:t>
            </w:r>
          </w:p>
        </w:tc>
        <w:tc>
          <w:tcPr>
            <w:tcW w:w="1666" w:type="dxa"/>
            <w:tcBorders>
              <w:top w:val="nil"/>
              <w:left w:val="nil"/>
              <w:bottom w:val="single" w:sz="4" w:space="0" w:color="auto"/>
              <w:right w:val="single" w:sz="4" w:space="0" w:color="auto"/>
            </w:tcBorders>
            <w:shd w:val="clear" w:color="auto" w:fill="FFFFFF"/>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118 205,90 €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Service et domaine 70</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24 900,00 €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personnel 012</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165 510,00 €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Travaux en régie 72</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rPr>
                <w:rFonts w:ascii="Arial" w:hAnsi="Arial" w:cs="Arial"/>
                <w:sz w:val="20"/>
                <w:szCs w:val="20"/>
              </w:rPr>
            </w:pPr>
            <w:r w:rsidRPr="00690849">
              <w:rPr>
                <w:rFonts w:ascii="Arial" w:hAnsi="Arial" w:cs="Arial"/>
                <w:sz w:val="20"/>
                <w:szCs w:val="20"/>
              </w:rPr>
              <w:t>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gest</w:t>
            </w:r>
            <w:r>
              <w:rPr>
                <w:rFonts w:ascii="Arial" w:hAnsi="Arial" w:cs="Arial"/>
                <w:sz w:val="20"/>
                <w:szCs w:val="20"/>
              </w:rPr>
              <w:t>ion</w:t>
            </w:r>
            <w:r w:rsidRPr="00690849">
              <w:rPr>
                <w:rFonts w:ascii="Arial" w:hAnsi="Arial" w:cs="Arial"/>
                <w:sz w:val="20"/>
                <w:szCs w:val="20"/>
              </w:rPr>
              <w:t xml:space="preserve"> courante 65</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96 584,00 €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impôts et taxes 73</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313 822,00 €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charges financière 66</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12 190,00 €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Dotation</w:t>
            </w:r>
            <w:r>
              <w:rPr>
                <w:rFonts w:ascii="Arial" w:hAnsi="Arial" w:cs="Arial"/>
                <w:sz w:val="20"/>
                <w:szCs w:val="20"/>
              </w:rPr>
              <w:t>s -</w:t>
            </w:r>
            <w:r w:rsidRPr="00690849">
              <w:rPr>
                <w:rFonts w:ascii="Arial" w:hAnsi="Arial" w:cs="Arial"/>
                <w:sz w:val="20"/>
                <w:szCs w:val="20"/>
              </w:rPr>
              <w:t xml:space="preserve"> sub</w:t>
            </w:r>
            <w:r>
              <w:rPr>
                <w:rFonts w:ascii="Arial" w:hAnsi="Arial" w:cs="Arial"/>
                <w:sz w:val="20"/>
                <w:szCs w:val="20"/>
              </w:rPr>
              <w:t>ventions</w:t>
            </w:r>
            <w:r w:rsidRPr="00690849">
              <w:rPr>
                <w:rFonts w:ascii="Arial" w:hAnsi="Arial" w:cs="Arial"/>
                <w:sz w:val="20"/>
                <w:szCs w:val="20"/>
              </w:rPr>
              <w:t xml:space="preserve">  74</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103 291,00 €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amortissement 68</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1 921,00 €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produits gest</w:t>
            </w:r>
            <w:r>
              <w:rPr>
                <w:rFonts w:ascii="Arial" w:hAnsi="Arial" w:cs="Arial"/>
                <w:sz w:val="20"/>
                <w:szCs w:val="20"/>
              </w:rPr>
              <w:t>ion</w:t>
            </w:r>
            <w:r w:rsidRPr="00690849">
              <w:rPr>
                <w:rFonts w:ascii="Arial" w:hAnsi="Arial" w:cs="Arial"/>
                <w:sz w:val="20"/>
                <w:szCs w:val="20"/>
              </w:rPr>
              <w:t xml:space="preserve"> cour</w:t>
            </w:r>
            <w:r>
              <w:rPr>
                <w:rFonts w:ascii="Arial" w:hAnsi="Arial" w:cs="Arial"/>
                <w:sz w:val="20"/>
                <w:szCs w:val="20"/>
              </w:rPr>
              <w:t>ante</w:t>
            </w:r>
            <w:r w:rsidRPr="00690849">
              <w:rPr>
                <w:rFonts w:ascii="Arial" w:hAnsi="Arial" w:cs="Arial"/>
                <w:sz w:val="20"/>
                <w:szCs w:val="20"/>
              </w:rPr>
              <w:t xml:space="preserve"> 75</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25 000,00 €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E8430A">
            <w:pPr>
              <w:jc w:val="right"/>
              <w:rPr>
                <w:rFonts w:ascii="Arial" w:hAnsi="Arial" w:cs="Arial"/>
                <w:sz w:val="20"/>
                <w:szCs w:val="20"/>
              </w:rPr>
            </w:pPr>
            <w:r w:rsidRPr="00690849">
              <w:rPr>
                <w:rFonts w:ascii="Arial" w:hAnsi="Arial" w:cs="Arial"/>
                <w:sz w:val="20"/>
                <w:szCs w:val="20"/>
              </w:rPr>
              <w:t xml:space="preserve">virement </w:t>
            </w:r>
            <w:r>
              <w:rPr>
                <w:rFonts w:ascii="Arial" w:hAnsi="Arial" w:cs="Arial"/>
                <w:sz w:val="20"/>
                <w:szCs w:val="20"/>
              </w:rPr>
              <w:t xml:space="preserve">en </w:t>
            </w:r>
            <w:r w:rsidRPr="00690849">
              <w:rPr>
                <w:rFonts w:ascii="Arial" w:hAnsi="Arial" w:cs="Arial"/>
                <w:sz w:val="20"/>
                <w:szCs w:val="20"/>
              </w:rPr>
              <w:t>invest</w:t>
            </w:r>
            <w:r>
              <w:rPr>
                <w:rFonts w:ascii="Arial" w:hAnsi="Arial" w:cs="Arial"/>
                <w:sz w:val="20"/>
                <w:szCs w:val="20"/>
              </w:rPr>
              <w:t>issement</w:t>
            </w:r>
            <w:r w:rsidRPr="00690849">
              <w:rPr>
                <w:rFonts w:ascii="Arial" w:hAnsi="Arial" w:cs="Arial"/>
                <w:sz w:val="20"/>
                <w:szCs w:val="20"/>
              </w:rPr>
              <w:t xml:space="preserve"> 023</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200 854,99 €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Atténuat</w:t>
            </w:r>
            <w:r>
              <w:rPr>
                <w:rFonts w:ascii="Arial" w:hAnsi="Arial" w:cs="Arial"/>
                <w:sz w:val="20"/>
                <w:szCs w:val="20"/>
              </w:rPr>
              <w:t>ion de</w:t>
            </w:r>
            <w:r w:rsidRPr="00690849">
              <w:rPr>
                <w:rFonts w:ascii="Arial" w:hAnsi="Arial" w:cs="Arial"/>
                <w:sz w:val="20"/>
                <w:szCs w:val="20"/>
              </w:rPr>
              <w:t xml:space="preserve"> charges 013</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13 000,00 €</w:t>
            </w:r>
          </w:p>
        </w:tc>
      </w:tr>
      <w:tr w:rsidR="00DD5FD0" w:rsidRPr="00690849">
        <w:trPr>
          <w:trHeight w:val="276"/>
          <w:jc w:val="center"/>
        </w:trPr>
        <w:tc>
          <w:tcPr>
            <w:tcW w:w="2970" w:type="dxa"/>
            <w:tcBorders>
              <w:top w:val="nil"/>
              <w:left w:val="single" w:sz="8" w:space="0" w:color="auto"/>
              <w:bottom w:val="single" w:sz="8"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Dot</w:t>
            </w:r>
            <w:r>
              <w:rPr>
                <w:rFonts w:ascii="Arial" w:hAnsi="Arial" w:cs="Arial"/>
                <w:sz w:val="20"/>
                <w:szCs w:val="20"/>
              </w:rPr>
              <w:t xml:space="preserve">ation </w:t>
            </w:r>
            <w:r w:rsidRPr="00690849">
              <w:rPr>
                <w:rFonts w:ascii="Arial" w:hAnsi="Arial" w:cs="Arial"/>
                <w:sz w:val="20"/>
                <w:szCs w:val="20"/>
              </w:rPr>
              <w:t xml:space="preserve"> Amo</w:t>
            </w:r>
            <w:r>
              <w:rPr>
                <w:rFonts w:ascii="Arial" w:hAnsi="Arial" w:cs="Arial"/>
                <w:sz w:val="20"/>
                <w:szCs w:val="20"/>
              </w:rPr>
              <w:t>rtissement</w:t>
            </w:r>
            <w:r w:rsidRPr="00690849">
              <w:rPr>
                <w:rFonts w:ascii="Arial" w:hAnsi="Arial" w:cs="Arial"/>
                <w:sz w:val="20"/>
                <w:szCs w:val="20"/>
              </w:rPr>
              <w:t xml:space="preserve"> 042</w:t>
            </w:r>
          </w:p>
        </w:tc>
        <w:tc>
          <w:tcPr>
            <w:tcW w:w="1666" w:type="dxa"/>
            <w:tcBorders>
              <w:top w:val="nil"/>
              <w:left w:val="nil"/>
              <w:bottom w:val="single" w:sz="8"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2 647,00 €</w:t>
            </w:r>
          </w:p>
        </w:tc>
        <w:tc>
          <w:tcPr>
            <w:tcW w:w="4446" w:type="dxa"/>
            <w:tcBorders>
              <w:top w:val="nil"/>
              <w:left w:val="nil"/>
              <w:bottom w:val="single" w:sz="8"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excédent reporté 002</w:t>
            </w:r>
          </w:p>
        </w:tc>
        <w:tc>
          <w:tcPr>
            <w:tcW w:w="1820" w:type="dxa"/>
            <w:tcBorders>
              <w:top w:val="nil"/>
              <w:left w:val="nil"/>
              <w:bottom w:val="single" w:sz="8"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117 949,89 €</w:t>
            </w:r>
          </w:p>
        </w:tc>
      </w:tr>
      <w:tr w:rsidR="00DD5FD0" w:rsidRPr="00690849">
        <w:trPr>
          <w:trHeight w:val="276"/>
          <w:jc w:val="center"/>
        </w:trPr>
        <w:tc>
          <w:tcPr>
            <w:tcW w:w="2970" w:type="dxa"/>
            <w:tcBorders>
              <w:top w:val="nil"/>
              <w:left w:val="nil"/>
              <w:bottom w:val="nil"/>
              <w:right w:val="nil"/>
            </w:tcBorders>
            <w:noWrap/>
            <w:vAlign w:val="bottom"/>
          </w:tcPr>
          <w:p w:rsidR="00DD5FD0" w:rsidRPr="00690849" w:rsidRDefault="00DD5FD0" w:rsidP="002805A1">
            <w:pPr>
              <w:rPr>
                <w:rFonts w:ascii="Arial" w:hAnsi="Arial" w:cs="Arial"/>
                <w:sz w:val="20"/>
                <w:szCs w:val="20"/>
              </w:rPr>
            </w:pPr>
          </w:p>
        </w:tc>
        <w:tc>
          <w:tcPr>
            <w:tcW w:w="1666" w:type="dxa"/>
            <w:tcBorders>
              <w:top w:val="nil"/>
              <w:left w:val="nil"/>
              <w:bottom w:val="nil"/>
              <w:right w:val="nil"/>
            </w:tcBorders>
            <w:noWrap/>
            <w:vAlign w:val="bottom"/>
          </w:tcPr>
          <w:p w:rsidR="00DD5FD0" w:rsidRPr="00690849" w:rsidRDefault="00DD5FD0" w:rsidP="002805A1">
            <w:pPr>
              <w:rPr>
                <w:rFonts w:ascii="Arial" w:hAnsi="Arial" w:cs="Arial"/>
                <w:sz w:val="20"/>
                <w:szCs w:val="20"/>
              </w:rPr>
            </w:pPr>
          </w:p>
        </w:tc>
        <w:tc>
          <w:tcPr>
            <w:tcW w:w="4446" w:type="dxa"/>
            <w:tcBorders>
              <w:top w:val="nil"/>
              <w:left w:val="nil"/>
              <w:bottom w:val="nil"/>
              <w:right w:val="nil"/>
            </w:tcBorders>
            <w:noWrap/>
            <w:vAlign w:val="bottom"/>
          </w:tcPr>
          <w:p w:rsidR="00DD5FD0" w:rsidRPr="00690849" w:rsidRDefault="00DD5FD0" w:rsidP="002805A1">
            <w:pPr>
              <w:rPr>
                <w:rFonts w:ascii="Arial" w:hAnsi="Arial" w:cs="Arial"/>
                <w:sz w:val="20"/>
                <w:szCs w:val="20"/>
              </w:rPr>
            </w:pPr>
          </w:p>
        </w:tc>
        <w:tc>
          <w:tcPr>
            <w:tcW w:w="1820" w:type="dxa"/>
            <w:tcBorders>
              <w:top w:val="nil"/>
              <w:left w:val="nil"/>
              <w:bottom w:val="nil"/>
              <w:right w:val="nil"/>
            </w:tcBorders>
            <w:noWrap/>
            <w:vAlign w:val="bottom"/>
          </w:tcPr>
          <w:p w:rsidR="00DD5FD0" w:rsidRPr="00690849" w:rsidRDefault="00DD5FD0" w:rsidP="002805A1">
            <w:pPr>
              <w:rPr>
                <w:rFonts w:ascii="Arial" w:hAnsi="Arial" w:cs="Arial"/>
                <w:sz w:val="20"/>
                <w:szCs w:val="20"/>
              </w:rPr>
            </w:pPr>
          </w:p>
        </w:tc>
      </w:tr>
      <w:tr w:rsidR="00DD5FD0" w:rsidRPr="00690849">
        <w:trPr>
          <w:trHeight w:val="276"/>
          <w:jc w:val="center"/>
        </w:trPr>
        <w:tc>
          <w:tcPr>
            <w:tcW w:w="10902" w:type="dxa"/>
            <w:gridSpan w:val="4"/>
            <w:tcBorders>
              <w:top w:val="single" w:sz="8" w:space="0" w:color="auto"/>
              <w:left w:val="single" w:sz="8" w:space="0" w:color="auto"/>
              <w:bottom w:val="nil"/>
              <w:right w:val="single" w:sz="8" w:space="0" w:color="000000"/>
            </w:tcBorders>
            <w:noWrap/>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Section d'Investissement vote et reste à réaliser</w:t>
            </w:r>
          </w:p>
        </w:tc>
      </w:tr>
      <w:tr w:rsidR="00DD5FD0" w:rsidRPr="00690849">
        <w:trPr>
          <w:trHeight w:val="276"/>
          <w:jc w:val="center"/>
        </w:trPr>
        <w:tc>
          <w:tcPr>
            <w:tcW w:w="2970" w:type="dxa"/>
            <w:tcBorders>
              <w:top w:val="single" w:sz="8" w:space="0" w:color="auto"/>
              <w:left w:val="single" w:sz="8" w:space="0" w:color="auto"/>
              <w:bottom w:val="single" w:sz="8" w:space="0" w:color="auto"/>
              <w:right w:val="single" w:sz="4" w:space="0" w:color="auto"/>
            </w:tcBorders>
            <w:noWrap/>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Dépenses</w:t>
            </w:r>
          </w:p>
        </w:tc>
        <w:tc>
          <w:tcPr>
            <w:tcW w:w="1666" w:type="dxa"/>
            <w:tcBorders>
              <w:top w:val="single" w:sz="8" w:space="0" w:color="auto"/>
              <w:left w:val="nil"/>
              <w:bottom w:val="single" w:sz="8" w:space="0" w:color="auto"/>
              <w:right w:val="single" w:sz="4" w:space="0" w:color="auto"/>
            </w:tcBorders>
            <w:shd w:val="clear" w:color="auto" w:fill="FFFFFF"/>
            <w:noWrap/>
            <w:vAlign w:val="bottom"/>
          </w:tcPr>
          <w:p w:rsidR="00DD5FD0" w:rsidRPr="00690849" w:rsidRDefault="00DD5FD0" w:rsidP="002805A1">
            <w:pPr>
              <w:jc w:val="right"/>
              <w:rPr>
                <w:rFonts w:ascii="Arial" w:hAnsi="Arial" w:cs="Arial"/>
                <w:b/>
                <w:bCs/>
                <w:sz w:val="20"/>
                <w:szCs w:val="20"/>
              </w:rPr>
            </w:pPr>
            <w:r w:rsidRPr="00690849">
              <w:rPr>
                <w:rFonts w:ascii="Arial" w:hAnsi="Arial" w:cs="Arial"/>
                <w:b/>
                <w:bCs/>
                <w:sz w:val="20"/>
                <w:szCs w:val="20"/>
              </w:rPr>
              <w:t>312 680,72 €</w:t>
            </w:r>
          </w:p>
        </w:tc>
        <w:tc>
          <w:tcPr>
            <w:tcW w:w="4446" w:type="dxa"/>
            <w:tcBorders>
              <w:top w:val="single" w:sz="8" w:space="0" w:color="auto"/>
              <w:left w:val="nil"/>
              <w:bottom w:val="single" w:sz="8" w:space="0" w:color="auto"/>
              <w:right w:val="single" w:sz="4" w:space="0" w:color="auto"/>
            </w:tcBorders>
            <w:vAlign w:val="bottom"/>
          </w:tcPr>
          <w:p w:rsidR="00DD5FD0" w:rsidRPr="00690849" w:rsidRDefault="00DD5FD0" w:rsidP="002805A1">
            <w:pPr>
              <w:jc w:val="center"/>
              <w:rPr>
                <w:rFonts w:ascii="Arial" w:hAnsi="Arial" w:cs="Arial"/>
                <w:b/>
                <w:bCs/>
                <w:sz w:val="20"/>
                <w:szCs w:val="20"/>
              </w:rPr>
            </w:pPr>
            <w:r w:rsidRPr="00690849">
              <w:rPr>
                <w:rFonts w:ascii="Arial" w:hAnsi="Arial" w:cs="Arial"/>
                <w:b/>
                <w:bCs/>
                <w:sz w:val="20"/>
                <w:szCs w:val="20"/>
              </w:rPr>
              <w:t>Recettes</w:t>
            </w:r>
          </w:p>
        </w:tc>
        <w:tc>
          <w:tcPr>
            <w:tcW w:w="1820" w:type="dxa"/>
            <w:tcBorders>
              <w:top w:val="single" w:sz="8" w:space="0" w:color="auto"/>
              <w:left w:val="nil"/>
              <w:bottom w:val="single" w:sz="8" w:space="0" w:color="auto"/>
              <w:right w:val="single" w:sz="8" w:space="0" w:color="auto"/>
            </w:tcBorders>
            <w:shd w:val="clear" w:color="auto" w:fill="FFFFFF"/>
            <w:noWrap/>
            <w:vAlign w:val="bottom"/>
          </w:tcPr>
          <w:p w:rsidR="00DD5FD0" w:rsidRPr="00690849" w:rsidRDefault="00DD5FD0" w:rsidP="002805A1">
            <w:pPr>
              <w:jc w:val="right"/>
              <w:rPr>
                <w:rFonts w:ascii="Arial" w:hAnsi="Arial" w:cs="Arial"/>
                <w:b/>
                <w:bCs/>
                <w:sz w:val="20"/>
                <w:szCs w:val="20"/>
              </w:rPr>
            </w:pPr>
            <w:r w:rsidRPr="00690849">
              <w:rPr>
                <w:rFonts w:ascii="Arial" w:hAnsi="Arial" w:cs="Arial"/>
                <w:b/>
                <w:bCs/>
                <w:sz w:val="20"/>
                <w:szCs w:val="20"/>
              </w:rPr>
              <w:t>312 680,72 €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Opérations d'équipement</w:t>
            </w:r>
          </w:p>
        </w:tc>
        <w:tc>
          <w:tcPr>
            <w:tcW w:w="1666" w:type="dxa"/>
            <w:tcBorders>
              <w:top w:val="nil"/>
              <w:left w:val="nil"/>
              <w:bottom w:val="single" w:sz="4" w:space="0" w:color="auto"/>
              <w:right w:val="single" w:sz="4" w:space="0" w:color="auto"/>
            </w:tcBorders>
            <w:shd w:val="clear" w:color="auto" w:fill="FFFFFF"/>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216 625,99 €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Dot., fonds divers et réserves (hors 1068)</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i/>
                <w:iCs/>
                <w:sz w:val="20"/>
                <w:szCs w:val="20"/>
              </w:rPr>
            </w:pPr>
            <w:r w:rsidRPr="00690849">
              <w:rPr>
                <w:rFonts w:ascii="Arial" w:hAnsi="Arial" w:cs="Arial"/>
                <w:i/>
                <w:iCs/>
                <w:sz w:val="20"/>
                <w:szCs w:val="20"/>
              </w:rPr>
              <w:t>35 690,00 €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Emprunts et dettes assimilées</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56 709,00 €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virement de la section de fonctionnement</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200 854,99 €</w:t>
            </w:r>
          </w:p>
        </w:tc>
      </w:tr>
      <w:tr w:rsidR="00DD5FD0" w:rsidRPr="00690849">
        <w:trPr>
          <w:trHeight w:val="264"/>
          <w:jc w:val="center"/>
        </w:trPr>
        <w:tc>
          <w:tcPr>
            <w:tcW w:w="2970" w:type="dxa"/>
            <w:tcBorders>
              <w:top w:val="nil"/>
              <w:left w:val="single" w:sz="8" w:space="0" w:color="auto"/>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Déficit reporté de 2021</w:t>
            </w:r>
          </w:p>
        </w:tc>
        <w:tc>
          <w:tcPr>
            <w:tcW w:w="1666" w:type="dxa"/>
            <w:tcBorders>
              <w:top w:val="nil"/>
              <w:left w:val="nil"/>
              <w:bottom w:val="single" w:sz="4"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39 345,73 €</w:t>
            </w:r>
          </w:p>
        </w:tc>
        <w:tc>
          <w:tcPr>
            <w:tcW w:w="4446" w:type="dxa"/>
            <w:tcBorders>
              <w:top w:val="nil"/>
              <w:left w:val="nil"/>
              <w:bottom w:val="single" w:sz="4" w:space="0" w:color="auto"/>
              <w:right w:val="single" w:sz="4"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Excédents de fonct</w:t>
            </w:r>
            <w:r>
              <w:rPr>
                <w:rFonts w:ascii="Arial" w:hAnsi="Arial" w:cs="Arial"/>
                <w:sz w:val="20"/>
                <w:szCs w:val="20"/>
              </w:rPr>
              <w:t>ionnement</w:t>
            </w:r>
            <w:r w:rsidRPr="00690849">
              <w:rPr>
                <w:rFonts w:ascii="Arial" w:hAnsi="Arial" w:cs="Arial"/>
                <w:sz w:val="20"/>
                <w:szCs w:val="20"/>
              </w:rPr>
              <w:t xml:space="preserve"> capitalisés</w:t>
            </w:r>
          </w:p>
        </w:tc>
        <w:tc>
          <w:tcPr>
            <w:tcW w:w="1820" w:type="dxa"/>
            <w:tcBorders>
              <w:top w:val="nil"/>
              <w:left w:val="nil"/>
              <w:bottom w:val="single" w:sz="4"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73 488,73 €</w:t>
            </w:r>
          </w:p>
        </w:tc>
      </w:tr>
      <w:tr w:rsidR="00DD5FD0" w:rsidRPr="00690849">
        <w:trPr>
          <w:trHeight w:val="276"/>
          <w:jc w:val="center"/>
        </w:trPr>
        <w:tc>
          <w:tcPr>
            <w:tcW w:w="2970" w:type="dxa"/>
            <w:tcBorders>
              <w:top w:val="nil"/>
              <w:left w:val="single" w:sz="8" w:space="0" w:color="auto"/>
              <w:bottom w:val="single" w:sz="8"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 </w:t>
            </w:r>
          </w:p>
        </w:tc>
        <w:tc>
          <w:tcPr>
            <w:tcW w:w="1666" w:type="dxa"/>
            <w:tcBorders>
              <w:top w:val="nil"/>
              <w:left w:val="nil"/>
              <w:bottom w:val="single" w:sz="8"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 </w:t>
            </w:r>
          </w:p>
        </w:tc>
        <w:tc>
          <w:tcPr>
            <w:tcW w:w="4446" w:type="dxa"/>
            <w:tcBorders>
              <w:top w:val="nil"/>
              <w:left w:val="nil"/>
              <w:bottom w:val="single" w:sz="8" w:space="0" w:color="auto"/>
              <w:right w:val="single" w:sz="4" w:space="0" w:color="auto"/>
            </w:tcBorders>
            <w:noWrap/>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Opé. d'ordre de transfert entre les sections</w:t>
            </w:r>
          </w:p>
        </w:tc>
        <w:tc>
          <w:tcPr>
            <w:tcW w:w="1820" w:type="dxa"/>
            <w:tcBorders>
              <w:top w:val="nil"/>
              <w:left w:val="nil"/>
              <w:bottom w:val="single" w:sz="8" w:space="0" w:color="auto"/>
              <w:right w:val="single" w:sz="8" w:space="0" w:color="auto"/>
            </w:tcBorders>
            <w:vAlign w:val="bottom"/>
          </w:tcPr>
          <w:p w:rsidR="00DD5FD0" w:rsidRPr="00690849" w:rsidRDefault="00DD5FD0" w:rsidP="002805A1">
            <w:pPr>
              <w:jc w:val="right"/>
              <w:rPr>
                <w:rFonts w:ascii="Arial" w:hAnsi="Arial" w:cs="Arial"/>
                <w:sz w:val="20"/>
                <w:szCs w:val="20"/>
              </w:rPr>
            </w:pPr>
            <w:r w:rsidRPr="00690849">
              <w:rPr>
                <w:rFonts w:ascii="Arial" w:hAnsi="Arial" w:cs="Arial"/>
                <w:sz w:val="20"/>
                <w:szCs w:val="20"/>
              </w:rPr>
              <w:t>2 647,00 €</w:t>
            </w:r>
          </w:p>
        </w:tc>
      </w:tr>
    </w:tbl>
    <w:p w:rsidR="00DD5FD0" w:rsidRDefault="00DD5FD0" w:rsidP="00240DA9">
      <w:pPr>
        <w:rPr>
          <w:b/>
          <w:bCs/>
        </w:rPr>
      </w:pPr>
    </w:p>
    <w:p w:rsidR="00DD5FD0" w:rsidRDefault="00DD5FD0" w:rsidP="003F4778">
      <w:pPr>
        <w:jc w:val="both"/>
      </w:pPr>
      <w:r>
        <w:t>Le Conseil municipal a prévu au titre des</w:t>
      </w:r>
      <w:r w:rsidRPr="00690849">
        <w:t xml:space="preserve"> opér</w:t>
      </w:r>
      <w:r>
        <w:t xml:space="preserve">ations d’équipement, </w:t>
      </w:r>
      <w:r w:rsidRPr="00690849">
        <w:t xml:space="preserve">plus particulièrement : L’acquisition et la pose de </w:t>
      </w:r>
      <w:r>
        <w:t xml:space="preserve">nouveaux </w:t>
      </w:r>
      <w:r w:rsidRPr="00690849">
        <w:t>défibrillateurs, la réfection d</w:t>
      </w:r>
      <w:r>
        <w:t xml:space="preserve">e plusieurs voies communales, les premiers travaux pour la </w:t>
      </w:r>
      <w:r w:rsidRPr="00690849">
        <w:t xml:space="preserve"> traverse de Vadalle, l’aménagement paysager de la résidence </w:t>
      </w:r>
      <w:r>
        <w:t>« </w:t>
      </w:r>
      <w:r w:rsidRPr="00690849">
        <w:t>senior</w:t>
      </w:r>
      <w:r>
        <w:t> »</w:t>
      </w:r>
      <w:r w:rsidRPr="00690849">
        <w:t xml:space="preserve">, </w:t>
      </w:r>
      <w:r>
        <w:t xml:space="preserve">le financement d’une possible </w:t>
      </w:r>
      <w:r w:rsidRPr="00690849">
        <w:t>acquisition pour le pr</w:t>
      </w:r>
      <w:r>
        <w:t>ojet de bibliothèque d’Aussac.</w:t>
      </w:r>
    </w:p>
    <w:p w:rsidR="00DD5FD0" w:rsidRPr="00690849" w:rsidRDefault="00DD5FD0" w:rsidP="003F4778">
      <w:pPr>
        <w:jc w:val="both"/>
      </w:pPr>
      <w:r>
        <w:t>D</w:t>
      </w:r>
      <w:r w:rsidRPr="00690849">
        <w:t xml:space="preserve">ans le cadre </w:t>
      </w:r>
      <w:r>
        <w:t>global des besoins communaux le conseil envisage</w:t>
      </w:r>
      <w:r w:rsidRPr="00690849">
        <w:t xml:space="preserve"> la réfection de la grande salle et la mise aux normes de certains </w:t>
      </w:r>
      <w:r>
        <w:t>équipements</w:t>
      </w:r>
      <w:r w:rsidRPr="00690849">
        <w:t xml:space="preserve"> de la salle des fêtes, le remplacement du photocopieur de la mairie, et di</w:t>
      </w:r>
      <w:r>
        <w:t>vers outillages.</w:t>
      </w:r>
    </w:p>
    <w:p w:rsidR="00DD5FD0" w:rsidRDefault="00DD5FD0" w:rsidP="00240DA9">
      <w:pPr>
        <w:rPr>
          <w:b/>
          <w:bCs/>
          <w:i/>
          <w:iCs/>
        </w:rPr>
      </w:pPr>
    </w:p>
    <w:p w:rsidR="00DD5FD0" w:rsidRPr="00A13B08" w:rsidRDefault="00DD5FD0" w:rsidP="00240DA9">
      <w:pPr>
        <w:rPr>
          <w:b/>
          <w:bCs/>
          <w:i/>
          <w:iCs/>
        </w:rPr>
      </w:pPr>
      <w:r w:rsidRPr="00A13B08">
        <w:rPr>
          <w:b/>
          <w:bCs/>
          <w:i/>
          <w:iCs/>
        </w:rPr>
        <w:t xml:space="preserve">Le </w:t>
      </w:r>
      <w:r>
        <w:rPr>
          <w:b/>
          <w:bCs/>
          <w:i/>
          <w:iCs/>
        </w:rPr>
        <w:t>Budget</w:t>
      </w:r>
      <w:r w:rsidRPr="00A13B08">
        <w:rPr>
          <w:b/>
          <w:bCs/>
          <w:i/>
          <w:iCs/>
        </w:rPr>
        <w:t xml:space="preserve"> est consultable dans son intégralité au secrétariat de mairie.</w:t>
      </w:r>
    </w:p>
    <w:p w:rsidR="00DD5FD0" w:rsidRDefault="00DD5FD0" w:rsidP="00D26505"/>
    <w:p w:rsidR="00DD5FD0" w:rsidRDefault="00DD5FD0" w:rsidP="003F4778">
      <w:pPr>
        <w:jc w:val="both"/>
      </w:pPr>
      <w:r>
        <w:t>Les subventions pour les associations hors communes ont été décidées comme suit : EIDER</w:t>
      </w:r>
      <w:r w:rsidR="003F4778">
        <w:t xml:space="preserve"> </w:t>
      </w:r>
      <w:r>
        <w:t>:</w:t>
      </w:r>
      <w:r w:rsidR="003F4778">
        <w:t xml:space="preserve"> </w:t>
      </w:r>
      <w:r>
        <w:t>50 €, ADMR :</w:t>
      </w:r>
      <w:r w:rsidR="003F4778">
        <w:t xml:space="preserve"> </w:t>
      </w:r>
      <w:r>
        <w:t>90€, FALM</w:t>
      </w:r>
      <w:r w:rsidR="003F4778">
        <w:t xml:space="preserve"> </w:t>
      </w:r>
      <w:r>
        <w:t>:</w:t>
      </w:r>
      <w:r w:rsidR="003F4778">
        <w:t xml:space="preserve"> </w:t>
      </w:r>
      <w:r>
        <w:t>100 €, CJM</w:t>
      </w:r>
      <w:r w:rsidR="003F4778">
        <w:t xml:space="preserve"> </w:t>
      </w:r>
      <w:r>
        <w:t>:</w:t>
      </w:r>
      <w:r w:rsidR="003F4778">
        <w:t xml:space="preserve"> </w:t>
      </w:r>
      <w:r>
        <w:t xml:space="preserve">100€, </w:t>
      </w:r>
      <w:r w:rsidRPr="0067644D">
        <w:t>Banque Alimentaire</w:t>
      </w:r>
      <w:r>
        <w:t> :</w:t>
      </w:r>
      <w:r w:rsidR="003F4778">
        <w:t xml:space="preserve"> </w:t>
      </w:r>
      <w:r>
        <w:t>90€, FCOL</w:t>
      </w:r>
      <w:r w:rsidR="003F4778">
        <w:t xml:space="preserve"> </w:t>
      </w:r>
      <w:r>
        <w:t>:</w:t>
      </w:r>
      <w:r w:rsidR="003F4778">
        <w:t xml:space="preserve"> </w:t>
      </w:r>
      <w:r>
        <w:t>75€, Ass. Donneurs de sang</w:t>
      </w:r>
      <w:r w:rsidR="003F4778">
        <w:t xml:space="preserve"> </w:t>
      </w:r>
      <w:r>
        <w:t>:</w:t>
      </w:r>
      <w:r w:rsidR="003F4778">
        <w:t xml:space="preserve"> </w:t>
      </w:r>
      <w:r>
        <w:t xml:space="preserve">70€, </w:t>
      </w:r>
      <w:r w:rsidRPr="0067644D">
        <w:t>Festivandco</w:t>
      </w:r>
      <w:r w:rsidR="003F4778">
        <w:t xml:space="preserve"> </w:t>
      </w:r>
      <w:r>
        <w:t>:</w:t>
      </w:r>
      <w:r w:rsidR="003F4778">
        <w:t xml:space="preserve"> </w:t>
      </w:r>
      <w:r>
        <w:t>100€, RAZED</w:t>
      </w:r>
      <w:r w:rsidR="003F4778">
        <w:t xml:space="preserve"> </w:t>
      </w:r>
      <w:r>
        <w:t>:</w:t>
      </w:r>
      <w:r w:rsidR="003F4778">
        <w:t xml:space="preserve"> </w:t>
      </w:r>
      <w:r>
        <w:t>50€.</w:t>
      </w:r>
    </w:p>
    <w:p w:rsidR="00DD5FD0" w:rsidRPr="0067644D" w:rsidRDefault="00DD5FD0" w:rsidP="003F4778">
      <w:pPr>
        <w:jc w:val="both"/>
      </w:pPr>
      <w:r>
        <w:t>Les associations communales sont invitées à déposer leurs demandes avant fin juin.</w:t>
      </w:r>
    </w:p>
    <w:p w:rsidR="00DD5FD0" w:rsidRDefault="00DD5FD0" w:rsidP="00D26505"/>
    <w:p w:rsidR="00DD5FD0" w:rsidRDefault="00DD5FD0" w:rsidP="00D26505">
      <w:r>
        <w:rPr>
          <w:b/>
          <w:bCs/>
          <w:u w:val="single"/>
        </w:rPr>
        <w:t xml:space="preserve">Campagne de stérilisation de chats </w:t>
      </w:r>
      <w:r w:rsidRPr="00BB04CC">
        <w:rPr>
          <w:b/>
          <w:bCs/>
          <w:u w:val="single"/>
        </w:rPr>
        <w:t>:</w:t>
      </w:r>
    </w:p>
    <w:p w:rsidR="00DD5FD0" w:rsidRPr="0040158F" w:rsidRDefault="00DD5FD0" w:rsidP="00D26505">
      <w:pPr>
        <w:rPr>
          <w:sz w:val="16"/>
          <w:szCs w:val="16"/>
        </w:rPr>
      </w:pPr>
    </w:p>
    <w:p w:rsidR="00DD5FD0" w:rsidRDefault="00DD5FD0" w:rsidP="003F4778">
      <w:pPr>
        <w:pStyle w:val="Paragraphedeliste1"/>
        <w:ind w:left="0"/>
        <w:jc w:val="both"/>
        <w:rPr>
          <w:rFonts w:ascii="Times New Roman" w:hAnsi="Times New Roman" w:cs="Times New Roman"/>
          <w:sz w:val="24"/>
          <w:szCs w:val="24"/>
        </w:rPr>
      </w:pPr>
      <w:r w:rsidRPr="00123447">
        <w:rPr>
          <w:rFonts w:ascii="Times New Roman" w:hAnsi="Times New Roman" w:cs="Times New Roman"/>
          <w:sz w:val="24"/>
          <w:szCs w:val="24"/>
        </w:rPr>
        <w:t xml:space="preserve">Une campagne de stérilisation de chats </w:t>
      </w:r>
      <w:r>
        <w:rPr>
          <w:rFonts w:ascii="Times New Roman" w:hAnsi="Times New Roman" w:cs="Times New Roman"/>
          <w:sz w:val="24"/>
          <w:szCs w:val="24"/>
        </w:rPr>
        <w:t xml:space="preserve">s’est déroulée </w:t>
      </w:r>
      <w:r w:rsidRPr="00123447">
        <w:rPr>
          <w:rFonts w:ascii="Times New Roman" w:hAnsi="Times New Roman" w:cs="Times New Roman"/>
          <w:sz w:val="24"/>
          <w:szCs w:val="24"/>
        </w:rPr>
        <w:t xml:space="preserve">au village de la Grange </w:t>
      </w:r>
      <w:r>
        <w:rPr>
          <w:rFonts w:ascii="Times New Roman" w:hAnsi="Times New Roman" w:cs="Times New Roman"/>
          <w:sz w:val="24"/>
          <w:szCs w:val="24"/>
        </w:rPr>
        <w:t>du mardi 6 au vendredi 8 avril. Compte tenu des vacations vétérinaires et des jours fériés l’opération n’a pu dur</w:t>
      </w:r>
      <w:r w:rsidR="003F4778">
        <w:rPr>
          <w:rFonts w:ascii="Times New Roman" w:hAnsi="Times New Roman" w:cs="Times New Roman"/>
          <w:sz w:val="24"/>
          <w:szCs w:val="24"/>
        </w:rPr>
        <w:t>er</w:t>
      </w:r>
      <w:r>
        <w:rPr>
          <w:rFonts w:ascii="Times New Roman" w:hAnsi="Times New Roman" w:cs="Times New Roman"/>
          <w:sz w:val="24"/>
          <w:szCs w:val="24"/>
        </w:rPr>
        <w:t xml:space="preserve"> que 4 jours.</w:t>
      </w:r>
    </w:p>
    <w:p w:rsidR="00DD5FD0" w:rsidRDefault="007B2F2F" w:rsidP="003F4778">
      <w:pPr>
        <w:pStyle w:val="Paragraphedeliste1"/>
        <w:ind w:left="0"/>
        <w:jc w:val="both"/>
        <w:rPr>
          <w:rFonts w:ascii="Times New Roman" w:hAnsi="Times New Roman" w:cs="Times New Roman"/>
          <w:sz w:val="24"/>
          <w:szCs w:val="24"/>
        </w:rPr>
      </w:pPr>
      <w:r>
        <w:rPr>
          <w:rFonts w:ascii="Times New Roman" w:hAnsi="Times New Roman" w:cs="Times New Roman"/>
          <w:sz w:val="24"/>
          <w:szCs w:val="24"/>
        </w:rPr>
        <w:t>4 c</w:t>
      </w:r>
      <w:r w:rsidR="00DD5FD0">
        <w:rPr>
          <w:rFonts w:ascii="Times New Roman" w:hAnsi="Times New Roman" w:cs="Times New Roman"/>
          <w:sz w:val="24"/>
          <w:szCs w:val="24"/>
        </w:rPr>
        <w:t>hats ont été capturés et 2 ont été stérilisés.</w:t>
      </w:r>
    </w:p>
    <w:p w:rsidR="00DD5FD0" w:rsidRPr="00CC32D0" w:rsidRDefault="00DD5FD0" w:rsidP="00C0590F">
      <w:pPr>
        <w:rPr>
          <w:b/>
          <w:bCs/>
          <w:u w:val="single"/>
        </w:rPr>
      </w:pPr>
      <w:r w:rsidRPr="00CC32D0">
        <w:rPr>
          <w:b/>
          <w:bCs/>
          <w:u w:val="single"/>
        </w:rPr>
        <w:lastRenderedPageBreak/>
        <w:t>Inscription sur liste électorale :</w:t>
      </w:r>
    </w:p>
    <w:p w:rsidR="00DD5FD0" w:rsidRPr="0040158F" w:rsidRDefault="00DD5FD0" w:rsidP="00C0590F">
      <w:pPr>
        <w:rPr>
          <w:sz w:val="16"/>
          <w:szCs w:val="16"/>
        </w:rPr>
      </w:pPr>
    </w:p>
    <w:p w:rsidR="00DD5FD0" w:rsidRDefault="00DD5FD0" w:rsidP="00CC32D0">
      <w:pPr>
        <w:jc w:val="both"/>
      </w:pPr>
      <w:r>
        <w:t xml:space="preserve">L’inscription sur les listes électorales se fait maintenant toute l’année directement en ligne sur Internet. Les personnes qui le souhaitent peuvent néanmoins s’inscrire en mairie. Attention pour participer aux prochaines élections régionales et cantonales qui sont prévues </w:t>
      </w:r>
      <w:r w:rsidRPr="0067644D">
        <w:rPr>
          <w:b/>
          <w:bCs/>
        </w:rPr>
        <w:t>les 20 et 27 juin</w:t>
      </w:r>
      <w:r w:rsidR="007B2F2F">
        <w:t>.</w:t>
      </w:r>
    </w:p>
    <w:p w:rsidR="00DD5FD0" w:rsidRDefault="00DD5FD0" w:rsidP="00CC32D0">
      <w:pPr>
        <w:jc w:val="both"/>
        <w:rPr>
          <w:b/>
          <w:bCs/>
          <w:u w:val="single"/>
        </w:rPr>
      </w:pPr>
    </w:p>
    <w:p w:rsidR="00DD5FD0" w:rsidRDefault="00DD5FD0" w:rsidP="00D26505">
      <w:r>
        <w:rPr>
          <w:b/>
          <w:bCs/>
          <w:u w:val="single"/>
        </w:rPr>
        <w:t>Traverse de Vadalle</w:t>
      </w:r>
      <w:r>
        <w:t>:</w:t>
      </w:r>
    </w:p>
    <w:p w:rsidR="00DD5FD0" w:rsidRPr="0040158F" w:rsidRDefault="00DD5FD0" w:rsidP="00D26505">
      <w:pPr>
        <w:rPr>
          <w:sz w:val="16"/>
          <w:szCs w:val="16"/>
        </w:rPr>
      </w:pPr>
    </w:p>
    <w:p w:rsidR="00DD5FD0" w:rsidRDefault="00DD5FD0" w:rsidP="003F4778">
      <w:pPr>
        <w:jc w:val="both"/>
      </w:pPr>
      <w:r>
        <w:t>Les études d’avant projet sont terminées. Une présentation aux riverains est envisagée en mai ou juin en fonction des mesures sanitaires qui seront applicables.</w:t>
      </w:r>
    </w:p>
    <w:p w:rsidR="00DD5FD0" w:rsidRDefault="00DD5FD0" w:rsidP="003F4778">
      <w:pPr>
        <w:jc w:val="both"/>
      </w:pPr>
      <w:r>
        <w:t>Cette réunion inclura également le choix de la couleur et des modèles de lampadaires.</w:t>
      </w:r>
    </w:p>
    <w:p w:rsidR="00DD5FD0" w:rsidRDefault="00DD5FD0" w:rsidP="003F4778">
      <w:pPr>
        <w:jc w:val="both"/>
      </w:pPr>
      <w:r>
        <w:t>Nous sommes actuellement en attente des arbitrages de l’Etat et du Conseil Départemental pour connaître les subventions accordées pour la première tranche de 2021. Une seconde tranche fera également l’objet d’une demande de participation de l’Etat et du Département en 2022.</w:t>
      </w:r>
    </w:p>
    <w:p w:rsidR="00DD5FD0" w:rsidRDefault="00DD5FD0" w:rsidP="00DB758C"/>
    <w:p w:rsidR="00DD5FD0" w:rsidRDefault="00DD5FD0" w:rsidP="00FF45C7">
      <w:r>
        <w:rPr>
          <w:b/>
          <w:bCs/>
          <w:u w:val="single"/>
        </w:rPr>
        <w:t>Intervention du CCAS</w:t>
      </w:r>
      <w:r>
        <w:t>:</w:t>
      </w:r>
    </w:p>
    <w:p w:rsidR="00DD5FD0" w:rsidRPr="0040158F" w:rsidRDefault="00DD5FD0" w:rsidP="00FF45C7">
      <w:pPr>
        <w:rPr>
          <w:sz w:val="16"/>
          <w:szCs w:val="16"/>
        </w:rPr>
      </w:pPr>
    </w:p>
    <w:p w:rsidR="00DD5FD0" w:rsidRDefault="00DD5FD0" w:rsidP="003F4778">
      <w:pPr>
        <w:jc w:val="both"/>
      </w:pPr>
      <w:r>
        <w:t xml:space="preserve">En raison de la crise sanitaire le conseil d’administration du CCAS a dû se résoudre à annuler le traditionnel repas annuel. Afin de maintenir le lien avec les bénéficiaires de l’action sociale sur la commune, nous avons décidé d’organiser en 2021 une distribution de colis gourmands constitués de produits charentais. </w:t>
      </w:r>
    </w:p>
    <w:p w:rsidR="00DD5FD0" w:rsidRDefault="00DD5FD0" w:rsidP="003F4778">
      <w:pPr>
        <w:jc w:val="both"/>
      </w:pPr>
      <w:r>
        <w:t>L’opération des colis gourmands a remporté un grand succès et 80% des personnes éligibles ont pu bénéficier de cette initiative.</w:t>
      </w:r>
    </w:p>
    <w:p w:rsidR="00DD5FD0" w:rsidRDefault="00DD5FD0" w:rsidP="003F4778">
      <w:pPr>
        <w:jc w:val="both"/>
      </w:pPr>
      <w:r>
        <w:t>Un geste qui a été apprécié, nous avons eu de bons retours et des courriers sympathiques pour nous remercier.</w:t>
      </w:r>
    </w:p>
    <w:p w:rsidR="00DD5FD0" w:rsidRDefault="00DD5FD0" w:rsidP="00FF45C7"/>
    <w:p w:rsidR="00DD5FD0" w:rsidRDefault="00DD5FD0" w:rsidP="00EA1A71">
      <w:r>
        <w:rPr>
          <w:b/>
          <w:bCs/>
          <w:u w:val="single"/>
        </w:rPr>
        <w:t>Emplois saisonniers</w:t>
      </w:r>
      <w:r>
        <w:t>:</w:t>
      </w:r>
    </w:p>
    <w:p w:rsidR="00DD5FD0" w:rsidRPr="0040158F" w:rsidRDefault="00DD5FD0" w:rsidP="00EA1A71">
      <w:pPr>
        <w:rPr>
          <w:sz w:val="16"/>
          <w:szCs w:val="16"/>
        </w:rPr>
      </w:pPr>
    </w:p>
    <w:p w:rsidR="00DD5FD0" w:rsidRDefault="00DD5FD0" w:rsidP="003F4778">
      <w:pPr>
        <w:jc w:val="both"/>
      </w:pPr>
      <w:r>
        <w:t>Comme en 2020, la commune recrutera des jeunes sur 2 périodes de 15 jours cet été. Ces postes sont ouverts aux jeunes de la commune de plus de 16 ans. Il s’agira pour eux de participer aux travaux d’entretien de la commune.</w:t>
      </w:r>
      <w:r w:rsidR="007B2F2F">
        <w:t xml:space="preserve"> La lettre de candidature et le CV sont à déposer au secrétariat de mairie.</w:t>
      </w:r>
    </w:p>
    <w:p w:rsidR="007B2F2F" w:rsidRDefault="007B2F2F" w:rsidP="003F4778">
      <w:pPr>
        <w:jc w:val="both"/>
      </w:pPr>
    </w:p>
    <w:p w:rsidR="007B2F2F" w:rsidRDefault="007B2F2F" w:rsidP="007B2F2F">
      <w:r>
        <w:rPr>
          <w:b/>
          <w:bCs/>
          <w:u w:val="single"/>
        </w:rPr>
        <w:t>Colonnes à verre</w:t>
      </w:r>
      <w:r>
        <w:t>:</w:t>
      </w:r>
    </w:p>
    <w:p w:rsidR="007B2F2F" w:rsidRPr="0040158F" w:rsidRDefault="007B2F2F" w:rsidP="007B2F2F">
      <w:pPr>
        <w:rPr>
          <w:sz w:val="16"/>
          <w:szCs w:val="16"/>
        </w:rPr>
      </w:pPr>
    </w:p>
    <w:p w:rsidR="00DD5FD0" w:rsidRDefault="007B2F2F" w:rsidP="007B2F2F">
      <w:r>
        <w:t>L’utilisation des colonnes génère parfois des nuisances pour les riverains, aussi nous vous remercions de bien vouloir déposer vos verres dans la journée jusqu’à 19h00.</w:t>
      </w:r>
    </w:p>
    <w:p w:rsidR="007B2F2F" w:rsidRDefault="007B2F2F" w:rsidP="007B2F2F"/>
    <w:p w:rsidR="00DD5FD0" w:rsidRDefault="003F4778" w:rsidP="001F0D11">
      <w:pPr>
        <w:rPr>
          <w:b/>
          <w:bCs/>
          <w:u w:val="single"/>
        </w:rPr>
      </w:pPr>
      <w:r>
        <w:rPr>
          <w:noProof/>
        </w:rPr>
        <w:drawing>
          <wp:anchor distT="0" distB="0" distL="114300" distR="114300" simplePos="0" relativeHeight="251657216" behindDoc="1" locked="0" layoutInCell="1" allowOverlap="1">
            <wp:simplePos x="0" y="0"/>
            <wp:positionH relativeFrom="column">
              <wp:posOffset>3602355</wp:posOffset>
            </wp:positionH>
            <wp:positionV relativeFrom="paragraph">
              <wp:posOffset>127635</wp:posOffset>
            </wp:positionV>
            <wp:extent cx="3251200" cy="2162175"/>
            <wp:effectExtent l="19050" t="0" r="6350" b="0"/>
            <wp:wrapTight wrapText="bothSides">
              <wp:wrapPolygon edited="0">
                <wp:start x="-127" y="0"/>
                <wp:lineTo x="-127" y="21505"/>
                <wp:lineTo x="21642" y="21505"/>
                <wp:lineTo x="21642" y="0"/>
                <wp:lineTo x="-127"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1200" cy="2162175"/>
                    </a:xfrm>
                    <a:prstGeom prst="rect">
                      <a:avLst/>
                    </a:prstGeom>
                    <a:noFill/>
                  </pic:spPr>
                </pic:pic>
              </a:graphicData>
            </a:graphic>
          </wp:anchor>
        </w:drawing>
      </w:r>
      <w:r w:rsidR="00DD5FD0" w:rsidRPr="001F0D11">
        <w:rPr>
          <w:b/>
          <w:bCs/>
          <w:u w:val="single"/>
        </w:rPr>
        <w:t xml:space="preserve">Ma Maison A’Venir : </w:t>
      </w:r>
    </w:p>
    <w:p w:rsidR="00DD5FD0" w:rsidRDefault="00DD5FD0" w:rsidP="001F0D11">
      <w:pPr>
        <w:rPr>
          <w:b/>
          <w:bCs/>
          <w:u w:val="single"/>
        </w:rPr>
      </w:pPr>
    </w:p>
    <w:p w:rsidR="00DD5FD0" w:rsidRDefault="00DD5FD0" w:rsidP="001F0D11">
      <w:r>
        <w:t>La Municipalité organise le vendredi 7 mai sur le parking de la salle des fêtes, en partenariat avec le  département de la Charente et le projet Ma Maison A’Venir, une journée de sensibilisation et d’information sur les dispositifs destinés à faciliter la vie quotidienne des seniors.</w:t>
      </w:r>
    </w:p>
    <w:p w:rsidR="00DD5FD0" w:rsidRDefault="007B2F2F" w:rsidP="001F0D11">
      <w:r>
        <w:t xml:space="preserve">             </w:t>
      </w:r>
      <w:r w:rsidR="00DD5FD0">
        <w:t>Ouvert à tout public – animation gratuite.</w:t>
      </w:r>
    </w:p>
    <w:p w:rsidR="00DD5FD0" w:rsidRDefault="00DD5FD0" w:rsidP="00CB28D2">
      <w:pPr>
        <w:jc w:val="center"/>
      </w:pPr>
      <w:r>
        <w:t>(Voir lettre jointe)</w:t>
      </w:r>
    </w:p>
    <w:p w:rsidR="00DD5FD0" w:rsidRDefault="00DD5FD0" w:rsidP="001F0D11"/>
    <w:p w:rsidR="007B2F2F" w:rsidRDefault="007B2F2F" w:rsidP="00CB28D2">
      <w:pPr>
        <w:rPr>
          <w:b/>
          <w:bCs/>
          <w:u w:val="single"/>
        </w:rPr>
      </w:pPr>
    </w:p>
    <w:p w:rsidR="00DD5FD0" w:rsidRDefault="00DD5FD0" w:rsidP="00CB28D2">
      <w:r>
        <w:rPr>
          <w:b/>
          <w:bCs/>
          <w:u w:val="single"/>
        </w:rPr>
        <w:t xml:space="preserve">Cérémonie Commémorative du 8 mai </w:t>
      </w:r>
      <w:r>
        <w:t>:</w:t>
      </w:r>
    </w:p>
    <w:p w:rsidR="00DD5FD0" w:rsidRPr="0040158F" w:rsidRDefault="00DD5FD0" w:rsidP="00CB28D2">
      <w:pPr>
        <w:rPr>
          <w:sz w:val="16"/>
          <w:szCs w:val="16"/>
        </w:rPr>
      </w:pPr>
    </w:p>
    <w:p w:rsidR="00DD5FD0" w:rsidRDefault="00DD5FD0" w:rsidP="00CB28D2">
      <w:r>
        <w:t>Compte tenu de l’état de crise sanitaire actuelle, la cérémonie du 8 mai est limitée aux seuls représentants de la commune et de l’amicale des anciens combattants.</w:t>
      </w:r>
    </w:p>
    <w:p w:rsidR="00DD5FD0" w:rsidRDefault="00DD5FD0" w:rsidP="00CB28D2">
      <w:r>
        <w:t>Nous remercions les habitants de bien vouloir pavoiser en hommage aux victimes civiles et militaires.</w:t>
      </w:r>
    </w:p>
    <w:p w:rsidR="00DD5FD0" w:rsidRPr="00FF45C7" w:rsidRDefault="003F4778" w:rsidP="00CB28D2">
      <w:r>
        <w:rPr>
          <w:noProof/>
        </w:rPr>
        <w:drawing>
          <wp:anchor distT="0" distB="0" distL="114300" distR="114300" simplePos="0" relativeHeight="251659264" behindDoc="0" locked="0" layoutInCell="1" allowOverlap="1">
            <wp:simplePos x="0" y="0"/>
            <wp:positionH relativeFrom="column">
              <wp:posOffset>5372100</wp:posOffset>
            </wp:positionH>
            <wp:positionV relativeFrom="paragraph">
              <wp:posOffset>38735</wp:posOffset>
            </wp:positionV>
            <wp:extent cx="1445895" cy="1115060"/>
            <wp:effectExtent l="19050" t="0" r="190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445895" cy="1115060"/>
                    </a:xfrm>
                    <a:prstGeom prst="rect">
                      <a:avLst/>
                    </a:prstGeom>
                    <a:noFill/>
                  </pic:spPr>
                </pic:pic>
              </a:graphicData>
            </a:graphic>
          </wp:anchor>
        </w:drawing>
      </w:r>
      <w:r w:rsidR="00F07B9F">
        <w:rPr>
          <w:noProof/>
        </w:rPr>
        <w:pict>
          <v:shapetype id="_x0000_t202" coordsize="21600,21600" o:spt="202" path="m,l,21600r21600,l21600,xe">
            <v:stroke joinstyle="miter"/>
            <v:path gradientshapeok="t" o:connecttype="rect"/>
          </v:shapetype>
          <v:shape id="_x0000_s1029" type="#_x0000_t202" style="position:absolute;margin-left:99pt;margin-top:21.05pt;width:297pt;height:54pt;z-index:251658240;mso-position-horizontal-relative:text;mso-position-vertical-relative:text" filled="f" stroked="f">
            <v:textbox>
              <w:txbxContent>
                <w:p w:rsidR="00DD5FD0" w:rsidRPr="0040158F" w:rsidRDefault="00DD5FD0" w:rsidP="002046D6">
                  <w:pPr>
                    <w:jc w:val="center"/>
                    <w:rPr>
                      <w:rFonts w:ascii="Script MT Bold" w:hAnsi="Script MT Bold" w:cs="Script MT Bold"/>
                      <w:i/>
                      <w:iCs/>
                      <w:color w:val="FF0000"/>
                      <w:sz w:val="28"/>
                      <w:szCs w:val="28"/>
                    </w:rPr>
                  </w:pPr>
                  <w:r w:rsidRPr="0040158F">
                    <w:rPr>
                      <w:rFonts w:ascii="Script MT Bold" w:hAnsi="Script MT Bold" w:cs="Script MT Bold"/>
                      <w:i/>
                      <w:iCs/>
                      <w:color w:val="FF0000"/>
                      <w:sz w:val="28"/>
                      <w:szCs w:val="28"/>
                    </w:rPr>
                    <w:t>Pour joindre le compte Facebook de la commune</w:t>
                  </w:r>
                  <w:r>
                    <w:rPr>
                      <w:rFonts w:ascii="Script MT Bold" w:hAnsi="Script MT Bold" w:cs="Script MT Bold"/>
                      <w:i/>
                      <w:iCs/>
                      <w:color w:val="FF0000"/>
                      <w:sz w:val="28"/>
                      <w:szCs w:val="28"/>
                    </w:rPr>
                    <w:t xml:space="preserve"> et suivre l’actualité en direct</w:t>
                  </w:r>
                </w:p>
              </w:txbxContent>
            </v:textbox>
          </v:shape>
        </w:pict>
      </w:r>
    </w:p>
    <w:sectPr w:rsidR="00DD5FD0" w:rsidRPr="00FF45C7" w:rsidSect="00D15236">
      <w:footerReference w:type="default" r:id="rId10"/>
      <w:pgSz w:w="11906" w:h="16838"/>
      <w:pgMar w:top="719" w:right="707" w:bottom="539" w:left="567" w:header="708" w:footer="20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4E70" w:rsidRDefault="00524E70" w:rsidP="00276AEF">
      <w:r>
        <w:separator/>
      </w:r>
    </w:p>
  </w:endnote>
  <w:endnote w:type="continuationSeparator" w:id="1">
    <w:p w:rsidR="00524E70" w:rsidRDefault="00524E70" w:rsidP="00276A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FD0" w:rsidRPr="00D15236" w:rsidRDefault="00DD5FD0" w:rsidP="0050177C">
    <w:pPr>
      <w:pStyle w:val="Pieddepage"/>
      <w:jc w:val="center"/>
      <w:rPr>
        <w:sz w:val="20"/>
        <w:szCs w:val="20"/>
      </w:rPr>
    </w:pPr>
    <w:r w:rsidRPr="00D15236">
      <w:rPr>
        <w:sz w:val="20"/>
        <w:szCs w:val="20"/>
      </w:rPr>
      <w:t>Mairie 61, rue de la République 16560 AUSSAC-VADALLE</w:t>
    </w:r>
  </w:p>
  <w:p w:rsidR="00DD5FD0" w:rsidRPr="00D15236" w:rsidRDefault="00DD5FD0" w:rsidP="0050177C">
    <w:pPr>
      <w:pStyle w:val="Pieddepage"/>
      <w:jc w:val="center"/>
      <w:rPr>
        <w:sz w:val="20"/>
        <w:szCs w:val="20"/>
      </w:rPr>
    </w:pPr>
    <w:r w:rsidRPr="00D15236">
      <w:rPr>
        <w:sz w:val="20"/>
        <w:szCs w:val="20"/>
      </w:rPr>
      <w:t>Tél : 05.45.20.61.60 Fax : 09.72.31.00.94    Internet : www.aussac-vadalle.fr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4E70" w:rsidRDefault="00524E70" w:rsidP="00276AEF">
      <w:r>
        <w:separator/>
      </w:r>
    </w:p>
  </w:footnote>
  <w:footnote w:type="continuationSeparator" w:id="1">
    <w:p w:rsidR="00524E70" w:rsidRDefault="00524E70" w:rsidP="00276A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747ABB"/>
    <w:multiLevelType w:val="hybridMultilevel"/>
    <w:tmpl w:val="C9DECBE2"/>
    <w:lvl w:ilvl="0" w:tplc="30104B2A">
      <w:start w:val="1"/>
      <w:numFmt w:val="decimal"/>
      <w:lvlText w:val="%1."/>
      <w:lvlJc w:val="left"/>
      <w:pPr>
        <w:ind w:left="3905"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A422C4"/>
    <w:rsid w:val="00012CAC"/>
    <w:rsid w:val="000139E1"/>
    <w:rsid w:val="000649CA"/>
    <w:rsid w:val="00091A4F"/>
    <w:rsid w:val="000B57AC"/>
    <w:rsid w:val="000D1C36"/>
    <w:rsid w:val="000D6382"/>
    <w:rsid w:val="00107C13"/>
    <w:rsid w:val="00113928"/>
    <w:rsid w:val="00117DEC"/>
    <w:rsid w:val="00123447"/>
    <w:rsid w:val="001252E1"/>
    <w:rsid w:val="001261DE"/>
    <w:rsid w:val="00152761"/>
    <w:rsid w:val="00177DEC"/>
    <w:rsid w:val="001B0729"/>
    <w:rsid w:val="001B1D39"/>
    <w:rsid w:val="001B560C"/>
    <w:rsid w:val="001E1395"/>
    <w:rsid w:val="001E150B"/>
    <w:rsid w:val="001F0D11"/>
    <w:rsid w:val="001F4640"/>
    <w:rsid w:val="002046D6"/>
    <w:rsid w:val="002104A0"/>
    <w:rsid w:val="00240DA9"/>
    <w:rsid w:val="00265E5B"/>
    <w:rsid w:val="00276AEF"/>
    <w:rsid w:val="00276BFC"/>
    <w:rsid w:val="002804A5"/>
    <w:rsid w:val="002805A1"/>
    <w:rsid w:val="002C7CFF"/>
    <w:rsid w:val="002E0091"/>
    <w:rsid w:val="00314E3E"/>
    <w:rsid w:val="003352D6"/>
    <w:rsid w:val="00360D54"/>
    <w:rsid w:val="00367ACB"/>
    <w:rsid w:val="003859D2"/>
    <w:rsid w:val="00392D2D"/>
    <w:rsid w:val="00396658"/>
    <w:rsid w:val="003F4778"/>
    <w:rsid w:val="0040158F"/>
    <w:rsid w:val="00403C63"/>
    <w:rsid w:val="00412B8D"/>
    <w:rsid w:val="00420992"/>
    <w:rsid w:val="00441905"/>
    <w:rsid w:val="00442C5A"/>
    <w:rsid w:val="00443DC6"/>
    <w:rsid w:val="004446D2"/>
    <w:rsid w:val="00464662"/>
    <w:rsid w:val="00482FCF"/>
    <w:rsid w:val="004A447F"/>
    <w:rsid w:val="004B6424"/>
    <w:rsid w:val="004C0422"/>
    <w:rsid w:val="004C4D09"/>
    <w:rsid w:val="004D439D"/>
    <w:rsid w:val="004E23ED"/>
    <w:rsid w:val="0050177C"/>
    <w:rsid w:val="00524E70"/>
    <w:rsid w:val="00533D7C"/>
    <w:rsid w:val="00561EBF"/>
    <w:rsid w:val="00564C37"/>
    <w:rsid w:val="00567506"/>
    <w:rsid w:val="00596CE5"/>
    <w:rsid w:val="005A1194"/>
    <w:rsid w:val="005E0E51"/>
    <w:rsid w:val="005E2EBC"/>
    <w:rsid w:val="005E4664"/>
    <w:rsid w:val="005F3BE1"/>
    <w:rsid w:val="00641F51"/>
    <w:rsid w:val="00645381"/>
    <w:rsid w:val="00667DA7"/>
    <w:rsid w:val="00676031"/>
    <w:rsid w:val="0067644D"/>
    <w:rsid w:val="00690849"/>
    <w:rsid w:val="006970AC"/>
    <w:rsid w:val="006B3F89"/>
    <w:rsid w:val="006C231D"/>
    <w:rsid w:val="006C6281"/>
    <w:rsid w:val="006E2B7B"/>
    <w:rsid w:val="006F1031"/>
    <w:rsid w:val="00713E06"/>
    <w:rsid w:val="0074291F"/>
    <w:rsid w:val="0076472E"/>
    <w:rsid w:val="00767E3E"/>
    <w:rsid w:val="007757F8"/>
    <w:rsid w:val="00791A21"/>
    <w:rsid w:val="007A41ED"/>
    <w:rsid w:val="007B2F2F"/>
    <w:rsid w:val="00800851"/>
    <w:rsid w:val="00821E02"/>
    <w:rsid w:val="008343A6"/>
    <w:rsid w:val="0083671C"/>
    <w:rsid w:val="00840784"/>
    <w:rsid w:val="008B6F2E"/>
    <w:rsid w:val="008C7269"/>
    <w:rsid w:val="008D6AA0"/>
    <w:rsid w:val="008D7698"/>
    <w:rsid w:val="008F2A78"/>
    <w:rsid w:val="009620FF"/>
    <w:rsid w:val="00971CEC"/>
    <w:rsid w:val="00972EFA"/>
    <w:rsid w:val="00982DC5"/>
    <w:rsid w:val="009A49FE"/>
    <w:rsid w:val="009A4E79"/>
    <w:rsid w:val="00A051F4"/>
    <w:rsid w:val="00A121D3"/>
    <w:rsid w:val="00A13B08"/>
    <w:rsid w:val="00A422C4"/>
    <w:rsid w:val="00A463C2"/>
    <w:rsid w:val="00A756B8"/>
    <w:rsid w:val="00A87A49"/>
    <w:rsid w:val="00AA2FC7"/>
    <w:rsid w:val="00AE07DF"/>
    <w:rsid w:val="00B3750F"/>
    <w:rsid w:val="00B45367"/>
    <w:rsid w:val="00B62F30"/>
    <w:rsid w:val="00B701F9"/>
    <w:rsid w:val="00B73618"/>
    <w:rsid w:val="00BA4F6C"/>
    <w:rsid w:val="00BB04CC"/>
    <w:rsid w:val="00BB2919"/>
    <w:rsid w:val="00BD2C76"/>
    <w:rsid w:val="00C0590F"/>
    <w:rsid w:val="00C132AB"/>
    <w:rsid w:val="00C231B4"/>
    <w:rsid w:val="00C33890"/>
    <w:rsid w:val="00C54F4E"/>
    <w:rsid w:val="00C6440F"/>
    <w:rsid w:val="00C64761"/>
    <w:rsid w:val="00C85618"/>
    <w:rsid w:val="00C90727"/>
    <w:rsid w:val="00CB28D2"/>
    <w:rsid w:val="00CB3853"/>
    <w:rsid w:val="00CC32D0"/>
    <w:rsid w:val="00CD5311"/>
    <w:rsid w:val="00CD656B"/>
    <w:rsid w:val="00CE1393"/>
    <w:rsid w:val="00D15236"/>
    <w:rsid w:val="00D17B5D"/>
    <w:rsid w:val="00D26505"/>
    <w:rsid w:val="00D35B5D"/>
    <w:rsid w:val="00D44890"/>
    <w:rsid w:val="00D6378D"/>
    <w:rsid w:val="00D705AF"/>
    <w:rsid w:val="00D958CF"/>
    <w:rsid w:val="00DB73C6"/>
    <w:rsid w:val="00DB758C"/>
    <w:rsid w:val="00DD5FD0"/>
    <w:rsid w:val="00DE275F"/>
    <w:rsid w:val="00DF67DB"/>
    <w:rsid w:val="00E0638F"/>
    <w:rsid w:val="00E161F3"/>
    <w:rsid w:val="00E3353E"/>
    <w:rsid w:val="00E645FF"/>
    <w:rsid w:val="00E71FE9"/>
    <w:rsid w:val="00E72CE2"/>
    <w:rsid w:val="00E75226"/>
    <w:rsid w:val="00E81969"/>
    <w:rsid w:val="00E8430A"/>
    <w:rsid w:val="00E87B54"/>
    <w:rsid w:val="00EA1A71"/>
    <w:rsid w:val="00EA771A"/>
    <w:rsid w:val="00EB4A1B"/>
    <w:rsid w:val="00EB6D16"/>
    <w:rsid w:val="00F07B9F"/>
    <w:rsid w:val="00F41757"/>
    <w:rsid w:val="00F54AF8"/>
    <w:rsid w:val="00F87ABA"/>
    <w:rsid w:val="00F952B1"/>
    <w:rsid w:val="00FD1CA8"/>
    <w:rsid w:val="00FF45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2C4"/>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uiPriority w:val="99"/>
    <w:rsid w:val="00A422C4"/>
    <w:pPr>
      <w:suppressLineNumbers/>
      <w:suppressAutoHyphens/>
      <w:overflowPunct w:val="0"/>
      <w:autoSpaceDE w:val="0"/>
      <w:textAlignment w:val="baseline"/>
    </w:pPr>
    <w:rPr>
      <w:sz w:val="20"/>
      <w:szCs w:val="20"/>
      <w:lang w:eastAsia="ar-SA"/>
    </w:rPr>
  </w:style>
  <w:style w:type="paragraph" w:styleId="Sous-titre">
    <w:name w:val="Subtitle"/>
    <w:basedOn w:val="Normal"/>
    <w:link w:val="Sous-titreCar"/>
    <w:uiPriority w:val="99"/>
    <w:qFormat/>
    <w:rsid w:val="00A422C4"/>
    <w:pPr>
      <w:spacing w:after="60"/>
      <w:jc w:val="center"/>
      <w:outlineLvl w:val="1"/>
    </w:pPr>
    <w:rPr>
      <w:rFonts w:ascii="Arial" w:hAnsi="Arial" w:cs="Arial"/>
    </w:rPr>
  </w:style>
  <w:style w:type="character" w:customStyle="1" w:styleId="Sous-titreCar">
    <w:name w:val="Sous-titre Car"/>
    <w:basedOn w:val="Policepardfaut"/>
    <w:link w:val="Sous-titre"/>
    <w:uiPriority w:val="99"/>
    <w:locked/>
    <w:rsid w:val="00A422C4"/>
    <w:rPr>
      <w:rFonts w:ascii="Arial" w:hAnsi="Arial" w:cs="Arial"/>
      <w:sz w:val="24"/>
      <w:szCs w:val="24"/>
      <w:lang w:eastAsia="fr-FR"/>
    </w:rPr>
  </w:style>
  <w:style w:type="paragraph" w:styleId="Pieddepage">
    <w:name w:val="footer"/>
    <w:basedOn w:val="Normal"/>
    <w:link w:val="PieddepageCar"/>
    <w:uiPriority w:val="99"/>
    <w:rsid w:val="00A422C4"/>
    <w:pPr>
      <w:tabs>
        <w:tab w:val="center" w:pos="4536"/>
        <w:tab w:val="right" w:pos="9072"/>
      </w:tabs>
    </w:pPr>
  </w:style>
  <w:style w:type="character" w:customStyle="1" w:styleId="PieddepageCar">
    <w:name w:val="Pied de page Car"/>
    <w:basedOn w:val="Policepardfaut"/>
    <w:link w:val="Pieddepage"/>
    <w:uiPriority w:val="99"/>
    <w:locked/>
    <w:rsid w:val="00A422C4"/>
    <w:rPr>
      <w:rFonts w:ascii="Times New Roman" w:hAnsi="Times New Roman" w:cs="Times New Roman"/>
      <w:sz w:val="24"/>
      <w:szCs w:val="24"/>
      <w:lang w:eastAsia="fr-FR"/>
    </w:rPr>
  </w:style>
  <w:style w:type="paragraph" w:styleId="Liste">
    <w:name w:val="List"/>
    <w:basedOn w:val="Normal"/>
    <w:uiPriority w:val="99"/>
    <w:rsid w:val="00A422C4"/>
    <w:pPr>
      <w:suppressAutoHyphens/>
      <w:overflowPunct w:val="0"/>
      <w:autoSpaceDE w:val="0"/>
      <w:jc w:val="both"/>
    </w:pPr>
    <w:rPr>
      <w:lang w:eastAsia="ar-SA"/>
    </w:rPr>
  </w:style>
  <w:style w:type="character" w:styleId="Lienhypertexte">
    <w:name w:val="Hyperlink"/>
    <w:basedOn w:val="Policepardfaut"/>
    <w:uiPriority w:val="99"/>
    <w:rsid w:val="00A422C4"/>
    <w:rPr>
      <w:color w:val="0000FF"/>
      <w:u w:val="single"/>
    </w:rPr>
  </w:style>
  <w:style w:type="paragraph" w:styleId="En-tte">
    <w:name w:val="header"/>
    <w:basedOn w:val="Normal"/>
    <w:link w:val="En-tteCar"/>
    <w:uiPriority w:val="99"/>
    <w:rsid w:val="005F3BE1"/>
    <w:pPr>
      <w:tabs>
        <w:tab w:val="center" w:pos="4536"/>
        <w:tab w:val="right" w:pos="9072"/>
      </w:tabs>
    </w:pPr>
  </w:style>
  <w:style w:type="character" w:customStyle="1" w:styleId="En-tteCar">
    <w:name w:val="En-tête Car"/>
    <w:basedOn w:val="Policepardfaut"/>
    <w:link w:val="En-tte"/>
    <w:uiPriority w:val="99"/>
    <w:semiHidden/>
    <w:locked/>
    <w:rsid w:val="00DF67DB"/>
    <w:rPr>
      <w:rFonts w:ascii="Times New Roman" w:hAnsi="Times New Roman" w:cs="Times New Roman"/>
      <w:sz w:val="24"/>
      <w:szCs w:val="24"/>
    </w:rPr>
  </w:style>
  <w:style w:type="character" w:styleId="Lienhypertextesuivivisit">
    <w:name w:val="FollowedHyperlink"/>
    <w:basedOn w:val="Policepardfaut"/>
    <w:uiPriority w:val="99"/>
    <w:rsid w:val="00E161F3"/>
    <w:rPr>
      <w:color w:val="800080"/>
      <w:u w:val="single"/>
    </w:rPr>
  </w:style>
  <w:style w:type="paragraph" w:styleId="Textedebulles">
    <w:name w:val="Balloon Text"/>
    <w:basedOn w:val="Normal"/>
    <w:link w:val="TextedebullesCar"/>
    <w:uiPriority w:val="99"/>
    <w:semiHidden/>
    <w:rsid w:val="00D17B5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D17B5D"/>
    <w:rPr>
      <w:rFonts w:ascii="Tahoma" w:hAnsi="Tahoma" w:cs="Tahoma"/>
      <w:sz w:val="16"/>
      <w:szCs w:val="16"/>
    </w:rPr>
  </w:style>
  <w:style w:type="paragraph" w:customStyle="1" w:styleId="yiv7070213614msonormal">
    <w:name w:val="yiv7070213614msonormal"/>
    <w:basedOn w:val="Normal"/>
    <w:uiPriority w:val="99"/>
    <w:rsid w:val="00D26505"/>
    <w:pPr>
      <w:spacing w:before="100" w:beforeAutospacing="1" w:after="100" w:afterAutospacing="1"/>
    </w:pPr>
    <w:rPr>
      <w:rFonts w:eastAsia="Calibri"/>
    </w:rPr>
  </w:style>
  <w:style w:type="paragraph" w:customStyle="1" w:styleId="Paragraphedeliste1">
    <w:name w:val="Paragraphe de liste1"/>
    <w:basedOn w:val="Normal"/>
    <w:uiPriority w:val="99"/>
    <w:rsid w:val="00641F51"/>
    <w:pPr>
      <w:ind w:left="708"/>
    </w:pPr>
    <w:rPr>
      <w:rFonts w:ascii="Arial" w:eastAsia="Calibri" w:hAnsi="Arial" w:cs="Arial"/>
      <w:sz w:val="22"/>
      <w:szCs w:val="22"/>
    </w:rPr>
  </w:style>
</w:styles>
</file>

<file path=word/webSettings.xml><?xml version="1.0" encoding="utf-8"?>
<w:webSettings xmlns:r="http://schemas.openxmlformats.org/officeDocument/2006/relationships" xmlns:w="http://schemas.openxmlformats.org/wordprocessingml/2006/main">
  <w:divs>
    <w:div w:id="286787059">
      <w:marLeft w:val="0"/>
      <w:marRight w:val="0"/>
      <w:marTop w:val="0"/>
      <w:marBottom w:val="0"/>
      <w:divBdr>
        <w:top w:val="none" w:sz="0" w:space="0" w:color="auto"/>
        <w:left w:val="none" w:sz="0" w:space="0" w:color="auto"/>
        <w:bottom w:val="none" w:sz="0" w:space="0" w:color="auto"/>
        <w:right w:val="none" w:sz="0" w:space="0" w:color="auto"/>
      </w:divBdr>
      <w:divsChild>
        <w:div w:id="286787060">
          <w:marLeft w:val="0"/>
          <w:marRight w:val="0"/>
          <w:marTop w:val="0"/>
          <w:marBottom w:val="0"/>
          <w:divBdr>
            <w:top w:val="none" w:sz="0" w:space="0" w:color="auto"/>
            <w:left w:val="none" w:sz="0" w:space="0" w:color="auto"/>
            <w:bottom w:val="none" w:sz="0" w:space="0" w:color="auto"/>
            <w:right w:val="none" w:sz="0" w:space="0" w:color="auto"/>
          </w:divBdr>
        </w:div>
        <w:div w:id="286787061">
          <w:marLeft w:val="0"/>
          <w:marRight w:val="0"/>
          <w:marTop w:val="0"/>
          <w:marBottom w:val="0"/>
          <w:divBdr>
            <w:top w:val="none" w:sz="0" w:space="0" w:color="auto"/>
            <w:left w:val="none" w:sz="0" w:space="0" w:color="auto"/>
            <w:bottom w:val="none" w:sz="0" w:space="0" w:color="auto"/>
            <w:right w:val="none" w:sz="0" w:space="0" w:color="auto"/>
          </w:divBdr>
        </w:div>
        <w:div w:id="286787062">
          <w:marLeft w:val="0"/>
          <w:marRight w:val="0"/>
          <w:marTop w:val="0"/>
          <w:marBottom w:val="0"/>
          <w:divBdr>
            <w:top w:val="none" w:sz="0" w:space="0" w:color="auto"/>
            <w:left w:val="none" w:sz="0" w:space="0" w:color="auto"/>
            <w:bottom w:val="none" w:sz="0" w:space="0" w:color="auto"/>
            <w:right w:val="none" w:sz="0" w:space="0" w:color="auto"/>
          </w:divBdr>
        </w:div>
        <w:div w:id="286787063">
          <w:marLeft w:val="0"/>
          <w:marRight w:val="0"/>
          <w:marTop w:val="0"/>
          <w:marBottom w:val="0"/>
          <w:divBdr>
            <w:top w:val="none" w:sz="0" w:space="0" w:color="auto"/>
            <w:left w:val="none" w:sz="0" w:space="0" w:color="auto"/>
            <w:bottom w:val="none" w:sz="0" w:space="0" w:color="auto"/>
            <w:right w:val="none" w:sz="0" w:space="0" w:color="auto"/>
          </w:divBdr>
        </w:div>
      </w:divsChild>
    </w:div>
    <w:div w:id="286787068">
      <w:marLeft w:val="0"/>
      <w:marRight w:val="0"/>
      <w:marTop w:val="0"/>
      <w:marBottom w:val="0"/>
      <w:divBdr>
        <w:top w:val="none" w:sz="0" w:space="0" w:color="auto"/>
        <w:left w:val="none" w:sz="0" w:space="0" w:color="auto"/>
        <w:bottom w:val="none" w:sz="0" w:space="0" w:color="auto"/>
        <w:right w:val="none" w:sz="0" w:space="0" w:color="auto"/>
      </w:divBdr>
      <w:divsChild>
        <w:div w:id="286787064">
          <w:marLeft w:val="0"/>
          <w:marRight w:val="0"/>
          <w:marTop w:val="0"/>
          <w:marBottom w:val="0"/>
          <w:divBdr>
            <w:top w:val="none" w:sz="0" w:space="0" w:color="auto"/>
            <w:left w:val="none" w:sz="0" w:space="0" w:color="auto"/>
            <w:bottom w:val="none" w:sz="0" w:space="0" w:color="auto"/>
            <w:right w:val="none" w:sz="0" w:space="0" w:color="auto"/>
          </w:divBdr>
          <w:divsChild>
            <w:div w:id="286787066">
              <w:marLeft w:val="0"/>
              <w:marRight w:val="0"/>
              <w:marTop w:val="0"/>
              <w:marBottom w:val="0"/>
              <w:divBdr>
                <w:top w:val="none" w:sz="0" w:space="0" w:color="auto"/>
                <w:left w:val="none" w:sz="0" w:space="0" w:color="auto"/>
                <w:bottom w:val="none" w:sz="0" w:space="0" w:color="auto"/>
                <w:right w:val="none" w:sz="0" w:space="0" w:color="auto"/>
              </w:divBdr>
              <w:divsChild>
                <w:div w:id="286787065">
                  <w:marLeft w:val="0"/>
                  <w:marRight w:val="0"/>
                  <w:marTop w:val="0"/>
                  <w:marBottom w:val="0"/>
                  <w:divBdr>
                    <w:top w:val="none" w:sz="0" w:space="0" w:color="auto"/>
                    <w:left w:val="none" w:sz="0" w:space="0" w:color="auto"/>
                    <w:bottom w:val="none" w:sz="0" w:space="0" w:color="auto"/>
                    <w:right w:val="none" w:sz="0" w:space="0" w:color="auto"/>
                  </w:divBdr>
                  <w:divsChild>
                    <w:div w:id="286787070">
                      <w:marLeft w:val="0"/>
                      <w:marRight w:val="0"/>
                      <w:marTop w:val="0"/>
                      <w:marBottom w:val="0"/>
                      <w:divBdr>
                        <w:top w:val="none" w:sz="0" w:space="0" w:color="auto"/>
                        <w:left w:val="none" w:sz="0" w:space="0" w:color="auto"/>
                        <w:bottom w:val="none" w:sz="0" w:space="0" w:color="auto"/>
                        <w:right w:val="none" w:sz="0" w:space="0" w:color="auto"/>
                      </w:divBdr>
                      <w:divsChild>
                        <w:div w:id="286787071">
                          <w:marLeft w:val="0"/>
                          <w:marRight w:val="0"/>
                          <w:marTop w:val="0"/>
                          <w:marBottom w:val="0"/>
                          <w:divBdr>
                            <w:top w:val="none" w:sz="0" w:space="0" w:color="auto"/>
                            <w:left w:val="none" w:sz="0" w:space="0" w:color="auto"/>
                            <w:bottom w:val="none" w:sz="0" w:space="0" w:color="auto"/>
                            <w:right w:val="none" w:sz="0" w:space="0" w:color="auto"/>
                          </w:divBdr>
                          <w:divsChild>
                            <w:div w:id="286787067">
                              <w:marLeft w:val="0"/>
                              <w:marRight w:val="0"/>
                              <w:marTop w:val="0"/>
                              <w:marBottom w:val="0"/>
                              <w:divBdr>
                                <w:top w:val="none" w:sz="0" w:space="0" w:color="auto"/>
                                <w:left w:val="none" w:sz="0" w:space="0" w:color="auto"/>
                                <w:bottom w:val="none" w:sz="0" w:space="0" w:color="auto"/>
                                <w:right w:val="none" w:sz="0" w:space="0" w:color="auto"/>
                              </w:divBdr>
                            </w:div>
                            <w:div w:id="2867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787072">
      <w:marLeft w:val="0"/>
      <w:marRight w:val="0"/>
      <w:marTop w:val="0"/>
      <w:marBottom w:val="0"/>
      <w:divBdr>
        <w:top w:val="none" w:sz="0" w:space="0" w:color="auto"/>
        <w:left w:val="none" w:sz="0" w:space="0" w:color="auto"/>
        <w:bottom w:val="none" w:sz="0" w:space="0" w:color="auto"/>
        <w:right w:val="none" w:sz="0" w:space="0" w:color="auto"/>
      </w:divBdr>
      <w:divsChild>
        <w:div w:id="286787073">
          <w:marLeft w:val="0"/>
          <w:marRight w:val="0"/>
          <w:marTop w:val="0"/>
          <w:marBottom w:val="0"/>
          <w:divBdr>
            <w:top w:val="none" w:sz="0" w:space="0" w:color="auto"/>
            <w:left w:val="none" w:sz="0" w:space="0" w:color="auto"/>
            <w:bottom w:val="none" w:sz="0" w:space="0" w:color="auto"/>
            <w:right w:val="none" w:sz="0" w:space="0" w:color="auto"/>
          </w:divBdr>
        </w:div>
        <w:div w:id="286787074">
          <w:marLeft w:val="0"/>
          <w:marRight w:val="0"/>
          <w:marTop w:val="0"/>
          <w:marBottom w:val="0"/>
          <w:divBdr>
            <w:top w:val="none" w:sz="0" w:space="0" w:color="auto"/>
            <w:left w:val="none" w:sz="0" w:space="0" w:color="auto"/>
            <w:bottom w:val="none" w:sz="0" w:space="0" w:color="auto"/>
            <w:right w:val="none" w:sz="0" w:space="0" w:color="auto"/>
          </w:divBdr>
        </w:div>
        <w:div w:id="286787075">
          <w:marLeft w:val="0"/>
          <w:marRight w:val="0"/>
          <w:marTop w:val="0"/>
          <w:marBottom w:val="0"/>
          <w:divBdr>
            <w:top w:val="none" w:sz="0" w:space="0" w:color="auto"/>
            <w:left w:val="none" w:sz="0" w:space="0" w:color="auto"/>
            <w:bottom w:val="none" w:sz="0" w:space="0" w:color="auto"/>
            <w:right w:val="none" w:sz="0" w:space="0" w:color="auto"/>
          </w:divBdr>
        </w:div>
        <w:div w:id="286787076">
          <w:marLeft w:val="0"/>
          <w:marRight w:val="0"/>
          <w:marTop w:val="0"/>
          <w:marBottom w:val="0"/>
          <w:divBdr>
            <w:top w:val="none" w:sz="0" w:space="0" w:color="auto"/>
            <w:left w:val="none" w:sz="0" w:space="0" w:color="auto"/>
            <w:bottom w:val="none" w:sz="0" w:space="0" w:color="auto"/>
            <w:right w:val="none" w:sz="0" w:space="0" w:color="auto"/>
          </w:divBdr>
        </w:div>
      </w:divsChild>
    </w:div>
    <w:div w:id="286787077">
      <w:marLeft w:val="0"/>
      <w:marRight w:val="0"/>
      <w:marTop w:val="0"/>
      <w:marBottom w:val="0"/>
      <w:divBdr>
        <w:top w:val="none" w:sz="0" w:space="0" w:color="auto"/>
        <w:left w:val="none" w:sz="0" w:space="0" w:color="auto"/>
        <w:bottom w:val="none" w:sz="0" w:space="0" w:color="auto"/>
        <w:right w:val="none" w:sz="0" w:space="0" w:color="auto"/>
      </w:divBdr>
    </w:div>
    <w:div w:id="286787085">
      <w:marLeft w:val="0"/>
      <w:marRight w:val="0"/>
      <w:marTop w:val="0"/>
      <w:marBottom w:val="0"/>
      <w:divBdr>
        <w:top w:val="none" w:sz="0" w:space="0" w:color="auto"/>
        <w:left w:val="none" w:sz="0" w:space="0" w:color="auto"/>
        <w:bottom w:val="none" w:sz="0" w:space="0" w:color="auto"/>
        <w:right w:val="none" w:sz="0" w:space="0" w:color="auto"/>
      </w:divBdr>
      <w:divsChild>
        <w:div w:id="286787090">
          <w:marLeft w:val="0"/>
          <w:marRight w:val="0"/>
          <w:marTop w:val="0"/>
          <w:marBottom w:val="0"/>
          <w:divBdr>
            <w:top w:val="none" w:sz="0" w:space="0" w:color="auto"/>
            <w:left w:val="none" w:sz="0" w:space="0" w:color="auto"/>
            <w:bottom w:val="none" w:sz="0" w:space="0" w:color="auto"/>
            <w:right w:val="none" w:sz="0" w:space="0" w:color="auto"/>
          </w:divBdr>
          <w:divsChild>
            <w:div w:id="286787080">
              <w:marLeft w:val="0"/>
              <w:marRight w:val="0"/>
              <w:marTop w:val="0"/>
              <w:marBottom w:val="0"/>
              <w:divBdr>
                <w:top w:val="none" w:sz="0" w:space="0" w:color="auto"/>
                <w:left w:val="none" w:sz="0" w:space="0" w:color="auto"/>
                <w:bottom w:val="none" w:sz="0" w:space="0" w:color="auto"/>
                <w:right w:val="none" w:sz="0" w:space="0" w:color="auto"/>
              </w:divBdr>
              <w:divsChild>
                <w:div w:id="286787084">
                  <w:marLeft w:val="0"/>
                  <w:marRight w:val="0"/>
                  <w:marTop w:val="0"/>
                  <w:marBottom w:val="0"/>
                  <w:divBdr>
                    <w:top w:val="none" w:sz="0" w:space="0" w:color="auto"/>
                    <w:left w:val="none" w:sz="0" w:space="0" w:color="auto"/>
                    <w:bottom w:val="none" w:sz="0" w:space="0" w:color="auto"/>
                    <w:right w:val="none" w:sz="0" w:space="0" w:color="auto"/>
                  </w:divBdr>
                  <w:divsChild>
                    <w:div w:id="286787086">
                      <w:marLeft w:val="0"/>
                      <w:marRight w:val="0"/>
                      <w:marTop w:val="0"/>
                      <w:marBottom w:val="0"/>
                      <w:divBdr>
                        <w:top w:val="none" w:sz="0" w:space="0" w:color="auto"/>
                        <w:left w:val="none" w:sz="0" w:space="0" w:color="auto"/>
                        <w:bottom w:val="none" w:sz="0" w:space="0" w:color="auto"/>
                        <w:right w:val="none" w:sz="0" w:space="0" w:color="auto"/>
                      </w:divBdr>
                      <w:divsChild>
                        <w:div w:id="286787081">
                          <w:marLeft w:val="0"/>
                          <w:marRight w:val="0"/>
                          <w:marTop w:val="0"/>
                          <w:marBottom w:val="0"/>
                          <w:divBdr>
                            <w:top w:val="none" w:sz="0" w:space="0" w:color="auto"/>
                            <w:left w:val="none" w:sz="0" w:space="0" w:color="auto"/>
                            <w:bottom w:val="none" w:sz="0" w:space="0" w:color="auto"/>
                            <w:right w:val="none" w:sz="0" w:space="0" w:color="auto"/>
                          </w:divBdr>
                          <w:divsChild>
                            <w:div w:id="286787082">
                              <w:marLeft w:val="0"/>
                              <w:marRight w:val="0"/>
                              <w:marTop w:val="0"/>
                              <w:marBottom w:val="0"/>
                              <w:divBdr>
                                <w:top w:val="none" w:sz="0" w:space="0" w:color="auto"/>
                                <w:left w:val="none" w:sz="0" w:space="0" w:color="auto"/>
                                <w:bottom w:val="none" w:sz="0" w:space="0" w:color="auto"/>
                                <w:right w:val="none" w:sz="0" w:space="0" w:color="auto"/>
                              </w:divBdr>
                            </w:div>
                          </w:divsChild>
                        </w:div>
                        <w:div w:id="286787083">
                          <w:marLeft w:val="0"/>
                          <w:marRight w:val="0"/>
                          <w:marTop w:val="0"/>
                          <w:marBottom w:val="0"/>
                          <w:divBdr>
                            <w:top w:val="none" w:sz="0" w:space="0" w:color="auto"/>
                            <w:left w:val="none" w:sz="0" w:space="0" w:color="auto"/>
                            <w:bottom w:val="none" w:sz="0" w:space="0" w:color="auto"/>
                            <w:right w:val="none" w:sz="0" w:space="0" w:color="auto"/>
                          </w:divBdr>
                          <w:divsChild>
                            <w:div w:id="286787078">
                              <w:marLeft w:val="0"/>
                              <w:marRight w:val="0"/>
                              <w:marTop w:val="0"/>
                              <w:marBottom w:val="0"/>
                              <w:divBdr>
                                <w:top w:val="none" w:sz="0" w:space="0" w:color="auto"/>
                                <w:left w:val="none" w:sz="0" w:space="0" w:color="auto"/>
                                <w:bottom w:val="none" w:sz="0" w:space="0" w:color="auto"/>
                                <w:right w:val="none" w:sz="0" w:space="0" w:color="auto"/>
                              </w:divBdr>
                            </w:div>
                            <w:div w:id="286787088">
                              <w:marLeft w:val="0"/>
                              <w:marRight w:val="0"/>
                              <w:marTop w:val="0"/>
                              <w:marBottom w:val="0"/>
                              <w:divBdr>
                                <w:top w:val="none" w:sz="0" w:space="0" w:color="auto"/>
                                <w:left w:val="none" w:sz="0" w:space="0" w:color="auto"/>
                                <w:bottom w:val="none" w:sz="0" w:space="0" w:color="auto"/>
                                <w:right w:val="none" w:sz="0" w:space="0" w:color="auto"/>
                              </w:divBdr>
                            </w:div>
                          </w:divsChild>
                        </w:div>
                        <w:div w:id="286787087">
                          <w:marLeft w:val="0"/>
                          <w:marRight w:val="0"/>
                          <w:marTop w:val="0"/>
                          <w:marBottom w:val="0"/>
                          <w:divBdr>
                            <w:top w:val="none" w:sz="0" w:space="0" w:color="auto"/>
                            <w:left w:val="none" w:sz="0" w:space="0" w:color="auto"/>
                            <w:bottom w:val="none" w:sz="0" w:space="0" w:color="auto"/>
                            <w:right w:val="none" w:sz="0" w:space="0" w:color="auto"/>
                          </w:divBdr>
                          <w:divsChild>
                            <w:div w:id="286787079">
                              <w:marLeft w:val="0"/>
                              <w:marRight w:val="0"/>
                              <w:marTop w:val="0"/>
                              <w:marBottom w:val="0"/>
                              <w:divBdr>
                                <w:top w:val="none" w:sz="0" w:space="0" w:color="auto"/>
                                <w:left w:val="none" w:sz="0" w:space="0" w:color="auto"/>
                                <w:bottom w:val="none" w:sz="0" w:space="0" w:color="auto"/>
                                <w:right w:val="none" w:sz="0" w:space="0" w:color="auto"/>
                              </w:divBdr>
                            </w:div>
                            <w:div w:id="2867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787092">
      <w:marLeft w:val="0"/>
      <w:marRight w:val="0"/>
      <w:marTop w:val="0"/>
      <w:marBottom w:val="0"/>
      <w:divBdr>
        <w:top w:val="none" w:sz="0" w:space="0" w:color="auto"/>
        <w:left w:val="none" w:sz="0" w:space="0" w:color="auto"/>
        <w:bottom w:val="none" w:sz="0" w:space="0" w:color="auto"/>
        <w:right w:val="none" w:sz="0" w:space="0" w:color="auto"/>
      </w:divBdr>
      <w:divsChild>
        <w:div w:id="286787100">
          <w:marLeft w:val="0"/>
          <w:marRight w:val="0"/>
          <w:marTop w:val="0"/>
          <w:marBottom w:val="0"/>
          <w:divBdr>
            <w:top w:val="none" w:sz="0" w:space="0" w:color="auto"/>
            <w:left w:val="none" w:sz="0" w:space="0" w:color="auto"/>
            <w:bottom w:val="none" w:sz="0" w:space="0" w:color="auto"/>
            <w:right w:val="none" w:sz="0" w:space="0" w:color="auto"/>
          </w:divBdr>
          <w:divsChild>
            <w:div w:id="286787110">
              <w:marLeft w:val="0"/>
              <w:marRight w:val="0"/>
              <w:marTop w:val="0"/>
              <w:marBottom w:val="0"/>
              <w:divBdr>
                <w:top w:val="none" w:sz="0" w:space="0" w:color="auto"/>
                <w:left w:val="none" w:sz="0" w:space="0" w:color="auto"/>
                <w:bottom w:val="none" w:sz="0" w:space="0" w:color="auto"/>
                <w:right w:val="none" w:sz="0" w:space="0" w:color="auto"/>
              </w:divBdr>
              <w:divsChild>
                <w:div w:id="286787101">
                  <w:marLeft w:val="0"/>
                  <w:marRight w:val="0"/>
                  <w:marTop w:val="0"/>
                  <w:marBottom w:val="0"/>
                  <w:divBdr>
                    <w:top w:val="none" w:sz="0" w:space="0" w:color="auto"/>
                    <w:left w:val="none" w:sz="0" w:space="0" w:color="auto"/>
                    <w:bottom w:val="none" w:sz="0" w:space="0" w:color="auto"/>
                    <w:right w:val="none" w:sz="0" w:space="0" w:color="auto"/>
                  </w:divBdr>
                  <w:divsChild>
                    <w:div w:id="286787106">
                      <w:marLeft w:val="0"/>
                      <w:marRight w:val="0"/>
                      <w:marTop w:val="0"/>
                      <w:marBottom w:val="0"/>
                      <w:divBdr>
                        <w:top w:val="none" w:sz="0" w:space="0" w:color="auto"/>
                        <w:left w:val="none" w:sz="0" w:space="0" w:color="auto"/>
                        <w:bottom w:val="none" w:sz="0" w:space="0" w:color="auto"/>
                        <w:right w:val="none" w:sz="0" w:space="0" w:color="auto"/>
                      </w:divBdr>
                      <w:divsChild>
                        <w:div w:id="286787093">
                          <w:marLeft w:val="0"/>
                          <w:marRight w:val="0"/>
                          <w:marTop w:val="0"/>
                          <w:marBottom w:val="0"/>
                          <w:divBdr>
                            <w:top w:val="none" w:sz="0" w:space="0" w:color="auto"/>
                            <w:left w:val="none" w:sz="0" w:space="0" w:color="auto"/>
                            <w:bottom w:val="none" w:sz="0" w:space="0" w:color="auto"/>
                            <w:right w:val="none" w:sz="0" w:space="0" w:color="auto"/>
                          </w:divBdr>
                          <w:divsChild>
                            <w:div w:id="286787094">
                              <w:marLeft w:val="0"/>
                              <w:marRight w:val="0"/>
                              <w:marTop w:val="0"/>
                              <w:marBottom w:val="0"/>
                              <w:divBdr>
                                <w:top w:val="none" w:sz="0" w:space="0" w:color="auto"/>
                                <w:left w:val="none" w:sz="0" w:space="0" w:color="auto"/>
                                <w:bottom w:val="none" w:sz="0" w:space="0" w:color="auto"/>
                                <w:right w:val="none" w:sz="0" w:space="0" w:color="auto"/>
                              </w:divBdr>
                            </w:div>
                            <w:div w:id="286787098">
                              <w:marLeft w:val="0"/>
                              <w:marRight w:val="0"/>
                              <w:marTop w:val="0"/>
                              <w:marBottom w:val="0"/>
                              <w:divBdr>
                                <w:top w:val="none" w:sz="0" w:space="0" w:color="auto"/>
                                <w:left w:val="none" w:sz="0" w:space="0" w:color="auto"/>
                                <w:bottom w:val="none" w:sz="0" w:space="0" w:color="auto"/>
                                <w:right w:val="none" w:sz="0" w:space="0" w:color="auto"/>
                              </w:divBdr>
                            </w:div>
                            <w:div w:id="28678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787107">
      <w:marLeft w:val="0"/>
      <w:marRight w:val="0"/>
      <w:marTop w:val="0"/>
      <w:marBottom w:val="0"/>
      <w:divBdr>
        <w:top w:val="none" w:sz="0" w:space="0" w:color="auto"/>
        <w:left w:val="none" w:sz="0" w:space="0" w:color="auto"/>
        <w:bottom w:val="none" w:sz="0" w:space="0" w:color="auto"/>
        <w:right w:val="none" w:sz="0" w:space="0" w:color="auto"/>
      </w:divBdr>
      <w:divsChild>
        <w:div w:id="286787091">
          <w:marLeft w:val="0"/>
          <w:marRight w:val="0"/>
          <w:marTop w:val="0"/>
          <w:marBottom w:val="0"/>
          <w:divBdr>
            <w:top w:val="none" w:sz="0" w:space="0" w:color="auto"/>
            <w:left w:val="none" w:sz="0" w:space="0" w:color="auto"/>
            <w:bottom w:val="none" w:sz="0" w:space="0" w:color="auto"/>
            <w:right w:val="none" w:sz="0" w:space="0" w:color="auto"/>
          </w:divBdr>
          <w:divsChild>
            <w:div w:id="286787103">
              <w:marLeft w:val="0"/>
              <w:marRight w:val="0"/>
              <w:marTop w:val="0"/>
              <w:marBottom w:val="0"/>
              <w:divBdr>
                <w:top w:val="none" w:sz="0" w:space="0" w:color="auto"/>
                <w:left w:val="none" w:sz="0" w:space="0" w:color="auto"/>
                <w:bottom w:val="none" w:sz="0" w:space="0" w:color="auto"/>
                <w:right w:val="none" w:sz="0" w:space="0" w:color="auto"/>
              </w:divBdr>
              <w:divsChild>
                <w:div w:id="286787109">
                  <w:marLeft w:val="0"/>
                  <w:marRight w:val="0"/>
                  <w:marTop w:val="0"/>
                  <w:marBottom w:val="0"/>
                  <w:divBdr>
                    <w:top w:val="none" w:sz="0" w:space="0" w:color="auto"/>
                    <w:left w:val="none" w:sz="0" w:space="0" w:color="auto"/>
                    <w:bottom w:val="none" w:sz="0" w:space="0" w:color="auto"/>
                    <w:right w:val="none" w:sz="0" w:space="0" w:color="auto"/>
                  </w:divBdr>
                  <w:divsChild>
                    <w:div w:id="286787097">
                      <w:marLeft w:val="0"/>
                      <w:marRight w:val="0"/>
                      <w:marTop w:val="0"/>
                      <w:marBottom w:val="0"/>
                      <w:divBdr>
                        <w:top w:val="none" w:sz="0" w:space="0" w:color="auto"/>
                        <w:left w:val="none" w:sz="0" w:space="0" w:color="auto"/>
                        <w:bottom w:val="none" w:sz="0" w:space="0" w:color="auto"/>
                        <w:right w:val="none" w:sz="0" w:space="0" w:color="auto"/>
                      </w:divBdr>
                      <w:divsChild>
                        <w:div w:id="286787104">
                          <w:marLeft w:val="0"/>
                          <w:marRight w:val="0"/>
                          <w:marTop w:val="0"/>
                          <w:marBottom w:val="0"/>
                          <w:divBdr>
                            <w:top w:val="none" w:sz="0" w:space="0" w:color="auto"/>
                            <w:left w:val="none" w:sz="0" w:space="0" w:color="auto"/>
                            <w:bottom w:val="none" w:sz="0" w:space="0" w:color="auto"/>
                            <w:right w:val="none" w:sz="0" w:space="0" w:color="auto"/>
                          </w:divBdr>
                          <w:divsChild>
                            <w:div w:id="286787095">
                              <w:marLeft w:val="0"/>
                              <w:marRight w:val="0"/>
                              <w:marTop w:val="0"/>
                              <w:marBottom w:val="0"/>
                              <w:divBdr>
                                <w:top w:val="none" w:sz="0" w:space="0" w:color="auto"/>
                                <w:left w:val="none" w:sz="0" w:space="0" w:color="auto"/>
                                <w:bottom w:val="none" w:sz="0" w:space="0" w:color="auto"/>
                                <w:right w:val="none" w:sz="0" w:space="0" w:color="auto"/>
                              </w:divBdr>
                            </w:div>
                            <w:div w:id="28678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787108">
      <w:marLeft w:val="0"/>
      <w:marRight w:val="0"/>
      <w:marTop w:val="0"/>
      <w:marBottom w:val="0"/>
      <w:divBdr>
        <w:top w:val="none" w:sz="0" w:space="0" w:color="auto"/>
        <w:left w:val="none" w:sz="0" w:space="0" w:color="auto"/>
        <w:bottom w:val="none" w:sz="0" w:space="0" w:color="auto"/>
        <w:right w:val="none" w:sz="0" w:space="0" w:color="auto"/>
      </w:divBdr>
      <w:divsChild>
        <w:div w:id="286787096">
          <w:marLeft w:val="0"/>
          <w:marRight w:val="0"/>
          <w:marTop w:val="0"/>
          <w:marBottom w:val="0"/>
          <w:divBdr>
            <w:top w:val="none" w:sz="0" w:space="0" w:color="auto"/>
            <w:left w:val="none" w:sz="0" w:space="0" w:color="auto"/>
            <w:bottom w:val="none" w:sz="0" w:space="0" w:color="auto"/>
            <w:right w:val="none" w:sz="0" w:space="0" w:color="auto"/>
          </w:divBdr>
        </w:div>
        <w:div w:id="286787102">
          <w:marLeft w:val="0"/>
          <w:marRight w:val="0"/>
          <w:marTop w:val="0"/>
          <w:marBottom w:val="0"/>
          <w:divBdr>
            <w:top w:val="none" w:sz="0" w:space="0" w:color="auto"/>
            <w:left w:val="none" w:sz="0" w:space="0" w:color="auto"/>
            <w:bottom w:val="none" w:sz="0" w:space="0" w:color="auto"/>
            <w:right w:val="none" w:sz="0" w:space="0" w:color="auto"/>
          </w:divBdr>
        </w:div>
      </w:divsChild>
    </w:div>
    <w:div w:id="286787111">
      <w:marLeft w:val="0"/>
      <w:marRight w:val="0"/>
      <w:marTop w:val="0"/>
      <w:marBottom w:val="0"/>
      <w:divBdr>
        <w:top w:val="none" w:sz="0" w:space="0" w:color="auto"/>
        <w:left w:val="none" w:sz="0" w:space="0" w:color="auto"/>
        <w:bottom w:val="none" w:sz="0" w:space="0" w:color="auto"/>
        <w:right w:val="none" w:sz="0" w:space="0" w:color="auto"/>
      </w:divBdr>
    </w:div>
    <w:div w:id="2867871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869</Words>
  <Characters>4781</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COMMUNE D’AUSSAC-VADALLE</vt:lpstr>
    </vt:vector>
  </TitlesOfParts>
  <Company>Hewlett-Packard Company</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COMMUNE D’AUSSAC-VADALLE</dc:title>
  <dc:creator>Utilisateur</dc:creator>
  <cp:lastModifiedBy>Utilisateur</cp:lastModifiedBy>
  <cp:revision>4</cp:revision>
  <cp:lastPrinted>2021-03-26T15:22:00Z</cp:lastPrinted>
  <dcterms:created xsi:type="dcterms:W3CDTF">2021-04-26T11:38:00Z</dcterms:created>
  <dcterms:modified xsi:type="dcterms:W3CDTF">2021-04-26T13:03:00Z</dcterms:modified>
</cp:coreProperties>
</file>